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97477" w14:textId="7A90919D" w:rsidR="00925BA4" w:rsidRPr="00925BA4" w:rsidRDefault="00925BA4" w:rsidP="00925BA4">
      <w:pPr>
        <w:spacing w:line="240" w:lineRule="auto"/>
        <w:rPr>
          <w:rFonts w:ascii="Times New Roman" w:hAnsi="Times New Roman"/>
          <w:lang w:val="pl-PL"/>
        </w:rPr>
      </w:pPr>
      <w:r w:rsidRPr="00925BA4">
        <w:rPr>
          <w:rFonts w:ascii="Times New Roman" w:hAnsi="Times New Roman"/>
          <w:lang w:val="pl-PL"/>
        </w:rPr>
        <w:t>Załącznik</w:t>
      </w:r>
      <w:r w:rsidR="00790072">
        <w:rPr>
          <w:rFonts w:ascii="Times New Roman" w:hAnsi="Times New Roman"/>
          <w:lang w:val="pl-PL"/>
        </w:rPr>
        <w:t xml:space="preserve"> </w:t>
      </w:r>
      <w:r w:rsidRPr="00925BA4">
        <w:rPr>
          <w:rFonts w:ascii="Times New Roman" w:hAnsi="Times New Roman"/>
          <w:lang w:val="pl-PL"/>
        </w:rPr>
        <w:t>B.</w:t>
      </w:r>
      <w:r>
        <w:rPr>
          <w:rFonts w:ascii="Times New Roman" w:hAnsi="Times New Roman"/>
          <w:lang w:val="pl-PL"/>
        </w:rPr>
        <w:t>141</w:t>
      </w:r>
      <w:r w:rsidRPr="00925BA4">
        <w:rPr>
          <w:rFonts w:ascii="Times New Roman" w:hAnsi="Times New Roman"/>
          <w:lang w:val="pl-PL"/>
        </w:rPr>
        <w:t>.</w:t>
      </w:r>
    </w:p>
    <w:p w14:paraId="0055BFE4" w14:textId="77777777" w:rsidR="00925BA4" w:rsidRPr="00925BA4" w:rsidRDefault="00925BA4" w:rsidP="00925BA4">
      <w:pPr>
        <w:spacing w:line="240" w:lineRule="auto"/>
        <w:rPr>
          <w:rFonts w:ascii="Times New Roman" w:hAnsi="Times New Roman"/>
          <w:lang w:val="pl-PL"/>
        </w:rPr>
      </w:pPr>
    </w:p>
    <w:p w14:paraId="011F0EFC" w14:textId="2A4C7374" w:rsidR="00287AA4" w:rsidRPr="00925BA4" w:rsidRDefault="00287AA4" w:rsidP="00287AA4">
      <w:pPr>
        <w:autoSpaceDE w:val="0"/>
        <w:autoSpaceDN w:val="0"/>
        <w:adjustRightInd w:val="0"/>
        <w:spacing w:after="240" w:line="240" w:lineRule="auto"/>
        <w:rPr>
          <w:rFonts w:ascii="Times New Roman" w:hAnsi="Times New Roman"/>
          <w:b/>
          <w:bCs/>
          <w:sz w:val="28"/>
          <w:lang w:val="pl-PL" w:eastAsia="en-US"/>
        </w:rPr>
      </w:pPr>
      <w:r w:rsidRPr="00925BA4">
        <w:rPr>
          <w:rFonts w:ascii="Times New Roman" w:hAnsi="Times New Roman"/>
          <w:b/>
          <w:bCs/>
          <w:sz w:val="28"/>
          <w:lang w:val="pl-PL" w:eastAsia="en-US"/>
        </w:rPr>
        <w:t>LECZENIE</w:t>
      </w:r>
      <w:r w:rsidR="00790072">
        <w:rPr>
          <w:rFonts w:ascii="Times New Roman" w:hAnsi="Times New Roman"/>
          <w:b/>
          <w:bCs/>
          <w:sz w:val="28"/>
          <w:lang w:val="pl-PL" w:eastAsia="en-US"/>
        </w:rPr>
        <w:t xml:space="preserve"> </w:t>
      </w:r>
      <w:r w:rsidR="000D08C1" w:rsidRPr="00925BA4">
        <w:rPr>
          <w:rFonts w:ascii="Times New Roman" w:hAnsi="Times New Roman"/>
          <w:b/>
          <w:bCs/>
          <w:sz w:val="28"/>
          <w:lang w:val="pl-PL" w:eastAsia="en-US"/>
        </w:rPr>
        <w:t>PACJENTÓW</w:t>
      </w:r>
      <w:r w:rsidR="00790072">
        <w:rPr>
          <w:rFonts w:ascii="Times New Roman" w:hAnsi="Times New Roman"/>
          <w:b/>
          <w:bCs/>
          <w:sz w:val="28"/>
          <w:lang w:val="pl-PL" w:eastAsia="en-US"/>
        </w:rPr>
        <w:t xml:space="preserve"> </w:t>
      </w:r>
      <w:r w:rsidR="000D08C1" w:rsidRPr="00925BA4">
        <w:rPr>
          <w:rFonts w:ascii="Times New Roman" w:hAnsi="Times New Roman"/>
          <w:b/>
          <w:bCs/>
          <w:sz w:val="28"/>
          <w:lang w:val="pl-PL" w:eastAsia="en-US"/>
        </w:rPr>
        <w:t>Z</w:t>
      </w:r>
      <w:r w:rsidR="00790072">
        <w:rPr>
          <w:rFonts w:ascii="Times New Roman" w:hAnsi="Times New Roman"/>
          <w:b/>
          <w:bCs/>
          <w:sz w:val="28"/>
          <w:lang w:val="pl-PL" w:eastAsia="en-US"/>
        </w:rPr>
        <w:t xml:space="preserve"> </w:t>
      </w:r>
      <w:r w:rsidRPr="00925BA4">
        <w:rPr>
          <w:rFonts w:ascii="Times New Roman" w:hAnsi="Times New Roman"/>
          <w:b/>
          <w:bCs/>
          <w:sz w:val="28"/>
          <w:lang w:val="pl-PL" w:eastAsia="en-US"/>
        </w:rPr>
        <w:t>RA</w:t>
      </w:r>
      <w:r w:rsidR="00390D06" w:rsidRPr="00925BA4">
        <w:rPr>
          <w:rFonts w:ascii="Times New Roman" w:hAnsi="Times New Roman"/>
          <w:b/>
          <w:bCs/>
          <w:sz w:val="28"/>
          <w:lang w:val="pl-PL" w:eastAsia="en-US"/>
        </w:rPr>
        <w:t>K</w:t>
      </w:r>
      <w:r w:rsidR="000D08C1" w:rsidRPr="00925BA4">
        <w:rPr>
          <w:rFonts w:ascii="Times New Roman" w:hAnsi="Times New Roman"/>
          <w:b/>
          <w:bCs/>
          <w:sz w:val="28"/>
          <w:lang w:val="pl-PL" w:eastAsia="en-US"/>
        </w:rPr>
        <w:t>IEM</w:t>
      </w:r>
      <w:r w:rsidR="00790072">
        <w:rPr>
          <w:rFonts w:ascii="Times New Roman" w:hAnsi="Times New Roman"/>
          <w:b/>
          <w:bCs/>
          <w:sz w:val="28"/>
          <w:lang w:val="pl-PL" w:eastAsia="en-US"/>
        </w:rPr>
        <w:t xml:space="preserve"> </w:t>
      </w:r>
      <w:r w:rsidRPr="00925BA4">
        <w:rPr>
          <w:rFonts w:ascii="Times New Roman" w:hAnsi="Times New Roman"/>
          <w:b/>
          <w:bCs/>
          <w:sz w:val="28"/>
          <w:lang w:val="pl-PL" w:eastAsia="en-US"/>
        </w:rPr>
        <w:t>UROTELIALN</w:t>
      </w:r>
      <w:r w:rsidR="000D08C1" w:rsidRPr="00925BA4">
        <w:rPr>
          <w:rFonts w:ascii="Times New Roman" w:hAnsi="Times New Roman"/>
          <w:b/>
          <w:bCs/>
          <w:sz w:val="28"/>
          <w:lang w:val="pl-PL" w:eastAsia="en-US"/>
        </w:rPr>
        <w:t>YM</w:t>
      </w:r>
      <w:r w:rsidR="00790072">
        <w:rPr>
          <w:rFonts w:ascii="Times New Roman" w:hAnsi="Times New Roman"/>
          <w:b/>
          <w:bCs/>
          <w:sz w:val="28"/>
          <w:lang w:val="pl-PL" w:eastAsia="en-US"/>
        </w:rPr>
        <w:t xml:space="preserve"> </w:t>
      </w:r>
      <w:r w:rsidRPr="00925BA4">
        <w:rPr>
          <w:rFonts w:ascii="Times New Roman" w:hAnsi="Times New Roman"/>
          <w:b/>
          <w:bCs/>
          <w:sz w:val="28"/>
          <w:lang w:val="pl-PL" w:eastAsia="en-US"/>
        </w:rPr>
        <w:t>(ICD-10</w:t>
      </w:r>
      <w:r w:rsidR="00925BA4">
        <w:rPr>
          <w:rFonts w:ascii="Times New Roman" w:hAnsi="Times New Roman"/>
          <w:b/>
          <w:bCs/>
          <w:sz w:val="28"/>
          <w:lang w:val="pl-PL" w:eastAsia="en-US"/>
        </w:rPr>
        <w:t>:</w:t>
      </w:r>
      <w:r w:rsidR="00790072">
        <w:rPr>
          <w:rFonts w:ascii="Times New Roman" w:hAnsi="Times New Roman"/>
          <w:b/>
          <w:bCs/>
          <w:sz w:val="28"/>
          <w:lang w:val="pl-PL" w:eastAsia="en-US"/>
        </w:rPr>
        <w:t xml:space="preserve"> </w:t>
      </w:r>
      <w:r w:rsidRPr="00925BA4">
        <w:rPr>
          <w:rFonts w:ascii="Times New Roman" w:hAnsi="Times New Roman"/>
          <w:b/>
          <w:bCs/>
          <w:sz w:val="28"/>
          <w:lang w:val="pl-PL" w:eastAsia="en-US"/>
        </w:rPr>
        <w:t>C61,</w:t>
      </w:r>
      <w:r w:rsidR="00790072">
        <w:rPr>
          <w:rFonts w:ascii="Times New Roman" w:hAnsi="Times New Roman"/>
          <w:b/>
          <w:bCs/>
          <w:sz w:val="28"/>
          <w:lang w:val="pl-PL" w:eastAsia="en-US"/>
        </w:rPr>
        <w:t xml:space="preserve"> </w:t>
      </w:r>
      <w:r w:rsidRPr="00925BA4">
        <w:rPr>
          <w:rFonts w:ascii="Times New Roman" w:hAnsi="Times New Roman"/>
          <w:b/>
          <w:bCs/>
          <w:sz w:val="28"/>
          <w:lang w:val="pl-PL" w:eastAsia="en-US"/>
        </w:rPr>
        <w:t>C65,</w:t>
      </w:r>
      <w:r w:rsidR="00790072">
        <w:rPr>
          <w:rFonts w:ascii="Times New Roman" w:hAnsi="Times New Roman"/>
          <w:b/>
          <w:bCs/>
          <w:sz w:val="28"/>
          <w:lang w:val="pl-PL" w:eastAsia="en-US"/>
        </w:rPr>
        <w:t xml:space="preserve"> </w:t>
      </w:r>
      <w:r w:rsidRPr="00925BA4">
        <w:rPr>
          <w:rFonts w:ascii="Times New Roman" w:hAnsi="Times New Roman"/>
          <w:b/>
          <w:bCs/>
          <w:sz w:val="28"/>
          <w:lang w:val="pl-PL" w:eastAsia="en-US"/>
        </w:rPr>
        <w:t>C66,</w:t>
      </w:r>
      <w:r w:rsidR="00790072">
        <w:rPr>
          <w:rFonts w:ascii="Times New Roman" w:hAnsi="Times New Roman"/>
          <w:b/>
          <w:bCs/>
          <w:sz w:val="28"/>
          <w:lang w:val="pl-PL" w:eastAsia="en-US"/>
        </w:rPr>
        <w:t xml:space="preserve"> </w:t>
      </w:r>
      <w:r w:rsidRPr="00925BA4">
        <w:rPr>
          <w:rFonts w:ascii="Times New Roman" w:hAnsi="Times New Roman"/>
          <w:b/>
          <w:bCs/>
          <w:sz w:val="28"/>
          <w:lang w:val="pl-PL" w:eastAsia="en-US"/>
        </w:rPr>
        <w:t>C67,</w:t>
      </w:r>
      <w:r w:rsidR="00790072">
        <w:rPr>
          <w:rFonts w:ascii="Times New Roman" w:hAnsi="Times New Roman"/>
          <w:b/>
          <w:bCs/>
          <w:sz w:val="28"/>
          <w:lang w:val="pl-PL" w:eastAsia="en-US"/>
        </w:rPr>
        <w:t xml:space="preserve"> </w:t>
      </w:r>
      <w:r w:rsidRPr="00925BA4">
        <w:rPr>
          <w:rFonts w:ascii="Times New Roman" w:hAnsi="Times New Roman"/>
          <w:b/>
          <w:bCs/>
          <w:sz w:val="28"/>
          <w:lang w:val="pl-PL" w:eastAsia="en-US"/>
        </w:rPr>
        <w:t>C68)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5665"/>
        <w:gridCol w:w="4111"/>
        <w:gridCol w:w="5612"/>
      </w:tblGrid>
      <w:tr w:rsidR="00287AA4" w:rsidRPr="00925BA4" w14:paraId="38B6E885" w14:textId="77777777" w:rsidTr="00790072">
        <w:trPr>
          <w:trHeight w:val="567"/>
        </w:trPr>
        <w:tc>
          <w:tcPr>
            <w:tcW w:w="15388" w:type="dxa"/>
            <w:gridSpan w:val="3"/>
            <w:vAlign w:val="center"/>
            <w:hideMark/>
          </w:tcPr>
          <w:p w14:paraId="1F8E7F50" w14:textId="3146F91A" w:rsidR="00287AA4" w:rsidRPr="00925BA4" w:rsidRDefault="00287AA4" w:rsidP="00925BA4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lang w:val="pl-PL" w:eastAsia="en-US"/>
              </w:rPr>
            </w:pPr>
            <w:r w:rsidRPr="00925BA4">
              <w:rPr>
                <w:rFonts w:ascii="Times New Roman" w:hAnsi="Times New Roman"/>
                <w:b/>
                <w:sz w:val="20"/>
                <w:lang w:val="pl-PL" w:eastAsia="en-US"/>
              </w:rPr>
              <w:t>ZAKRES</w:t>
            </w:r>
            <w:r w:rsidR="00790072">
              <w:rPr>
                <w:rFonts w:ascii="Times New Roman" w:hAnsi="Times New Roman"/>
                <w:b/>
                <w:sz w:val="20"/>
                <w:lang w:val="pl-PL" w:eastAsia="en-US"/>
              </w:rPr>
              <w:t xml:space="preserve"> </w:t>
            </w:r>
            <w:r w:rsidRPr="00925BA4">
              <w:rPr>
                <w:rFonts w:ascii="Times New Roman" w:hAnsi="Times New Roman"/>
                <w:b/>
                <w:sz w:val="20"/>
                <w:lang w:val="pl-PL" w:eastAsia="en-US"/>
              </w:rPr>
              <w:t>ŚWIADCZENIA</w:t>
            </w:r>
            <w:r w:rsidR="00790072">
              <w:rPr>
                <w:rFonts w:ascii="Times New Roman" w:hAnsi="Times New Roman"/>
                <w:b/>
                <w:sz w:val="20"/>
                <w:lang w:val="pl-PL" w:eastAsia="en-US"/>
              </w:rPr>
              <w:t xml:space="preserve"> </w:t>
            </w:r>
            <w:r w:rsidRPr="00925BA4">
              <w:rPr>
                <w:rFonts w:ascii="Times New Roman" w:hAnsi="Times New Roman"/>
                <w:b/>
                <w:sz w:val="20"/>
                <w:lang w:val="pl-PL" w:eastAsia="en-US"/>
              </w:rPr>
              <w:t>GWARANTOWANEGO</w:t>
            </w:r>
          </w:p>
        </w:tc>
      </w:tr>
      <w:tr w:rsidR="00287AA4" w:rsidRPr="00925BA4" w14:paraId="5B6A2C7A" w14:textId="77777777" w:rsidTr="00790072">
        <w:trPr>
          <w:trHeight w:val="567"/>
        </w:trPr>
        <w:tc>
          <w:tcPr>
            <w:tcW w:w="5665" w:type="dxa"/>
            <w:vAlign w:val="center"/>
            <w:hideMark/>
          </w:tcPr>
          <w:p w14:paraId="5C030E18" w14:textId="77777777" w:rsidR="00287AA4" w:rsidRPr="00925BA4" w:rsidRDefault="00287AA4" w:rsidP="00925BA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 w:val="20"/>
                <w:lang w:val="pl-PL" w:eastAsia="en-US"/>
              </w:rPr>
            </w:pPr>
            <w:r w:rsidRPr="00925BA4">
              <w:rPr>
                <w:rFonts w:ascii="Times New Roman" w:hAnsi="Times New Roman"/>
                <w:b/>
                <w:sz w:val="20"/>
                <w:lang w:val="pl-PL" w:eastAsia="en-US"/>
              </w:rPr>
              <w:t>ŚWIADCZENIOBIORCY</w:t>
            </w:r>
          </w:p>
        </w:tc>
        <w:tc>
          <w:tcPr>
            <w:tcW w:w="4111" w:type="dxa"/>
            <w:vAlign w:val="center"/>
            <w:hideMark/>
          </w:tcPr>
          <w:p w14:paraId="546FF45A" w14:textId="239E5B02" w:rsidR="00287AA4" w:rsidRPr="00925BA4" w:rsidRDefault="00287AA4" w:rsidP="0079007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 w:val="20"/>
                <w:lang w:val="pl-PL" w:eastAsia="en-US"/>
              </w:rPr>
            </w:pPr>
            <w:r w:rsidRPr="00925BA4">
              <w:rPr>
                <w:rFonts w:ascii="Times New Roman" w:hAnsi="Times New Roman"/>
                <w:b/>
                <w:sz w:val="20"/>
                <w:lang w:val="pl-PL" w:eastAsia="en-US"/>
              </w:rPr>
              <w:t>SCHEMAT</w:t>
            </w:r>
            <w:r w:rsidR="00790072">
              <w:rPr>
                <w:rFonts w:ascii="Times New Roman" w:hAnsi="Times New Roman"/>
                <w:b/>
                <w:sz w:val="20"/>
                <w:lang w:val="pl-PL" w:eastAsia="en-US"/>
              </w:rPr>
              <w:t xml:space="preserve"> </w:t>
            </w:r>
            <w:r w:rsidRPr="00925BA4">
              <w:rPr>
                <w:rFonts w:ascii="Times New Roman" w:hAnsi="Times New Roman"/>
                <w:b/>
                <w:sz w:val="20"/>
                <w:lang w:val="pl-PL" w:eastAsia="en-US"/>
              </w:rPr>
              <w:t>DAWKOWANIA</w:t>
            </w:r>
            <w:r w:rsidR="00790072">
              <w:rPr>
                <w:rFonts w:ascii="Times New Roman" w:hAnsi="Times New Roman"/>
                <w:b/>
                <w:sz w:val="20"/>
                <w:lang w:val="pl-PL" w:eastAsia="en-US"/>
              </w:rPr>
              <w:t xml:space="preserve"> </w:t>
            </w:r>
            <w:r w:rsidRPr="00925BA4">
              <w:rPr>
                <w:rFonts w:ascii="Times New Roman" w:hAnsi="Times New Roman"/>
                <w:b/>
                <w:sz w:val="20"/>
                <w:lang w:val="pl-PL" w:eastAsia="en-US"/>
              </w:rPr>
              <w:t>LEK</w:t>
            </w:r>
            <w:r w:rsidR="00726482" w:rsidRPr="00925BA4">
              <w:rPr>
                <w:rFonts w:ascii="Times New Roman" w:hAnsi="Times New Roman"/>
                <w:b/>
                <w:sz w:val="20"/>
                <w:lang w:val="pl-PL" w:eastAsia="en-US"/>
              </w:rPr>
              <w:t>ÓW</w:t>
            </w:r>
            <w:r w:rsidR="00790072">
              <w:rPr>
                <w:rFonts w:ascii="Times New Roman" w:hAnsi="Times New Roman"/>
                <w:b/>
                <w:sz w:val="20"/>
                <w:lang w:val="pl-PL" w:eastAsia="en-US"/>
              </w:rPr>
              <w:t xml:space="preserve"> </w:t>
            </w:r>
            <w:r w:rsidR="00790072">
              <w:rPr>
                <w:rFonts w:ascii="Times New Roman" w:hAnsi="Times New Roman"/>
                <w:b/>
                <w:sz w:val="20"/>
                <w:lang w:val="pl-PL" w:eastAsia="en-US"/>
              </w:rPr>
              <w:br/>
            </w:r>
            <w:r w:rsidRPr="00925BA4">
              <w:rPr>
                <w:rFonts w:ascii="Times New Roman" w:hAnsi="Times New Roman"/>
                <w:b/>
                <w:sz w:val="20"/>
                <w:lang w:val="pl-PL" w:eastAsia="en-US"/>
              </w:rPr>
              <w:t>W</w:t>
            </w:r>
            <w:r w:rsidR="00790072">
              <w:rPr>
                <w:rFonts w:ascii="Times New Roman" w:hAnsi="Times New Roman"/>
                <w:b/>
                <w:sz w:val="20"/>
                <w:lang w:val="pl-PL" w:eastAsia="en-US"/>
              </w:rPr>
              <w:t xml:space="preserve"> </w:t>
            </w:r>
            <w:r w:rsidRPr="00925BA4">
              <w:rPr>
                <w:rFonts w:ascii="Times New Roman" w:hAnsi="Times New Roman"/>
                <w:b/>
                <w:sz w:val="20"/>
                <w:lang w:val="pl-PL" w:eastAsia="en-US"/>
              </w:rPr>
              <w:t>PROGRAMIE</w:t>
            </w:r>
          </w:p>
        </w:tc>
        <w:tc>
          <w:tcPr>
            <w:tcW w:w="5612" w:type="dxa"/>
            <w:vAlign w:val="center"/>
            <w:hideMark/>
          </w:tcPr>
          <w:p w14:paraId="65FDF9EF" w14:textId="0D163438" w:rsidR="00287AA4" w:rsidRPr="00925BA4" w:rsidRDefault="00287AA4" w:rsidP="00925BA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 w:val="20"/>
                <w:lang w:val="pl-PL" w:eastAsia="en-US"/>
              </w:rPr>
            </w:pPr>
            <w:r w:rsidRPr="00925BA4">
              <w:rPr>
                <w:rFonts w:ascii="Times New Roman" w:hAnsi="Times New Roman"/>
                <w:b/>
                <w:sz w:val="20"/>
                <w:lang w:val="pl-PL" w:eastAsia="en-US"/>
              </w:rPr>
              <w:t>BADANIA</w:t>
            </w:r>
            <w:r w:rsidR="00790072">
              <w:rPr>
                <w:rFonts w:ascii="Times New Roman" w:hAnsi="Times New Roman"/>
                <w:b/>
                <w:sz w:val="20"/>
                <w:lang w:val="pl-PL" w:eastAsia="en-US"/>
              </w:rPr>
              <w:t xml:space="preserve"> </w:t>
            </w:r>
            <w:r w:rsidRPr="00925BA4">
              <w:rPr>
                <w:rFonts w:ascii="Times New Roman" w:hAnsi="Times New Roman"/>
                <w:b/>
                <w:sz w:val="20"/>
                <w:lang w:val="pl-PL" w:eastAsia="en-US"/>
              </w:rPr>
              <w:t>DIAGNOSTYCZNE</w:t>
            </w:r>
            <w:r w:rsidR="00790072">
              <w:rPr>
                <w:rFonts w:ascii="Times New Roman" w:hAnsi="Times New Roman"/>
                <w:b/>
                <w:sz w:val="20"/>
                <w:lang w:val="pl-PL" w:eastAsia="en-US"/>
              </w:rPr>
              <w:t xml:space="preserve"> </w:t>
            </w:r>
            <w:r w:rsidRPr="00925BA4">
              <w:rPr>
                <w:rFonts w:ascii="Times New Roman" w:hAnsi="Times New Roman"/>
                <w:b/>
                <w:sz w:val="20"/>
                <w:lang w:val="pl-PL" w:eastAsia="en-US"/>
              </w:rPr>
              <w:t>WYKONYWANE</w:t>
            </w:r>
            <w:r w:rsidR="00790072">
              <w:rPr>
                <w:rFonts w:ascii="Times New Roman" w:hAnsi="Times New Roman"/>
                <w:b/>
                <w:sz w:val="20"/>
                <w:lang w:val="pl-PL" w:eastAsia="en-US"/>
              </w:rPr>
              <w:t xml:space="preserve"> </w:t>
            </w:r>
            <w:r w:rsidR="00790072">
              <w:rPr>
                <w:rFonts w:ascii="Times New Roman" w:hAnsi="Times New Roman"/>
                <w:b/>
                <w:sz w:val="20"/>
                <w:lang w:val="pl-PL" w:eastAsia="en-US"/>
              </w:rPr>
              <w:br/>
            </w:r>
            <w:r w:rsidRPr="00925BA4">
              <w:rPr>
                <w:rFonts w:ascii="Times New Roman" w:hAnsi="Times New Roman"/>
                <w:b/>
                <w:sz w:val="20"/>
                <w:lang w:val="pl-PL" w:eastAsia="en-US"/>
              </w:rPr>
              <w:t>W</w:t>
            </w:r>
            <w:r w:rsidR="00790072">
              <w:rPr>
                <w:rFonts w:ascii="Times New Roman" w:hAnsi="Times New Roman"/>
                <w:b/>
                <w:sz w:val="20"/>
                <w:lang w:val="pl-PL" w:eastAsia="en-US"/>
              </w:rPr>
              <w:t xml:space="preserve"> </w:t>
            </w:r>
            <w:r w:rsidRPr="00925BA4">
              <w:rPr>
                <w:rFonts w:ascii="Times New Roman" w:hAnsi="Times New Roman"/>
                <w:b/>
                <w:sz w:val="20"/>
                <w:lang w:val="pl-PL" w:eastAsia="en-US"/>
              </w:rPr>
              <w:t>RAMACH</w:t>
            </w:r>
            <w:r w:rsidR="00790072">
              <w:rPr>
                <w:rFonts w:ascii="Times New Roman" w:hAnsi="Times New Roman"/>
                <w:b/>
                <w:sz w:val="20"/>
                <w:lang w:val="pl-PL" w:eastAsia="en-US"/>
              </w:rPr>
              <w:t xml:space="preserve"> </w:t>
            </w:r>
            <w:r w:rsidRPr="00925BA4">
              <w:rPr>
                <w:rFonts w:ascii="Times New Roman" w:hAnsi="Times New Roman"/>
                <w:b/>
                <w:sz w:val="20"/>
                <w:lang w:val="pl-PL" w:eastAsia="en-US"/>
              </w:rPr>
              <w:t>PROGRAMU</w:t>
            </w:r>
          </w:p>
        </w:tc>
      </w:tr>
      <w:tr w:rsidR="00287AA4" w:rsidRPr="00925BA4" w14:paraId="7E82157E" w14:textId="77777777" w:rsidTr="00790072">
        <w:trPr>
          <w:trHeight w:val="20"/>
        </w:trPr>
        <w:tc>
          <w:tcPr>
            <w:tcW w:w="5665" w:type="dxa"/>
            <w:hideMark/>
          </w:tcPr>
          <w:p w14:paraId="13391851" w14:textId="669E3587" w:rsidR="00287AA4" w:rsidRPr="00790072" w:rsidRDefault="00287AA4" w:rsidP="00790072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rFonts w:ascii="Times New Roman" w:eastAsia="SimSun" w:hAnsi="Times New Roman"/>
                <w:sz w:val="20"/>
                <w:lang w:val="pl-PL" w:eastAsia="zh-CN"/>
              </w:rPr>
            </w:pPr>
            <w:r w:rsidRPr="00790072">
              <w:rPr>
                <w:rFonts w:ascii="Times New Roman" w:eastAsia="SimSun" w:hAnsi="Times New Roman"/>
                <w:b/>
                <w:sz w:val="20"/>
                <w:lang w:val="pl-PL" w:eastAsia="zh-CN"/>
              </w:rPr>
              <w:t>Leczenie</w:t>
            </w:r>
            <w:r w:rsidR="00790072" w:rsidRPr="00790072">
              <w:rPr>
                <w:rFonts w:ascii="Times New Roman" w:eastAsia="SimSun" w:hAnsi="Times New Roman"/>
                <w:b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b/>
                <w:sz w:val="20"/>
                <w:lang w:val="pl-PL" w:eastAsia="zh-CN"/>
              </w:rPr>
              <w:t>podtrzymujące</w:t>
            </w:r>
            <w:r w:rsidR="00790072" w:rsidRPr="00790072">
              <w:rPr>
                <w:rFonts w:ascii="Times New Roman" w:eastAsia="SimSun" w:hAnsi="Times New Roman"/>
                <w:b/>
                <w:sz w:val="20"/>
                <w:lang w:val="pl-PL" w:eastAsia="zh-CN"/>
              </w:rPr>
              <w:t xml:space="preserve"> </w:t>
            </w:r>
            <w:r w:rsidR="00D9342A" w:rsidRPr="00790072">
              <w:rPr>
                <w:rFonts w:ascii="Times New Roman" w:eastAsia="SimSun" w:hAnsi="Times New Roman"/>
                <w:b/>
                <w:sz w:val="20"/>
                <w:lang w:val="pl-PL" w:eastAsia="zh-CN"/>
              </w:rPr>
              <w:t>awelumabem</w:t>
            </w:r>
            <w:r w:rsidR="00790072" w:rsidRPr="00790072">
              <w:rPr>
                <w:rFonts w:ascii="Times New Roman" w:eastAsia="SimSun" w:hAnsi="Times New Roman"/>
                <w:b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b/>
                <w:sz w:val="20"/>
                <w:lang w:val="pl-PL" w:eastAsia="zh-CN"/>
              </w:rPr>
              <w:t>pierwszego</w:t>
            </w:r>
            <w:r w:rsidR="00790072" w:rsidRPr="00790072">
              <w:rPr>
                <w:rFonts w:ascii="Times New Roman" w:eastAsia="SimSun" w:hAnsi="Times New Roman"/>
                <w:b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b/>
                <w:sz w:val="20"/>
                <w:lang w:val="pl-PL" w:eastAsia="zh-CN"/>
              </w:rPr>
              <w:t>rzutu</w:t>
            </w:r>
            <w:r w:rsidR="00790072" w:rsidRPr="00790072">
              <w:rPr>
                <w:rFonts w:ascii="Times New Roman" w:eastAsia="SimSun" w:hAnsi="Times New Roman"/>
                <w:b/>
                <w:sz w:val="20"/>
                <w:lang w:val="pl-PL" w:eastAsia="zh-CN"/>
              </w:rPr>
              <w:t xml:space="preserve"> </w:t>
            </w:r>
            <w:r w:rsidR="007F212B" w:rsidRPr="00790072">
              <w:rPr>
                <w:rFonts w:ascii="Times New Roman" w:eastAsia="SimSun" w:hAnsi="Times New Roman"/>
                <w:b/>
                <w:sz w:val="20"/>
                <w:lang w:val="pl-PL" w:eastAsia="zh-CN"/>
              </w:rPr>
              <w:t>raka</w:t>
            </w:r>
            <w:r w:rsidR="00790072" w:rsidRPr="00790072">
              <w:rPr>
                <w:rFonts w:ascii="Times New Roman" w:eastAsia="SimSun" w:hAnsi="Times New Roman"/>
                <w:b/>
                <w:sz w:val="20"/>
                <w:lang w:val="pl-PL" w:eastAsia="zh-CN"/>
              </w:rPr>
              <w:t xml:space="preserve"> </w:t>
            </w:r>
            <w:r w:rsidR="007F212B" w:rsidRPr="00790072">
              <w:rPr>
                <w:rFonts w:ascii="Times New Roman" w:eastAsia="SimSun" w:hAnsi="Times New Roman"/>
                <w:b/>
                <w:sz w:val="20"/>
                <w:lang w:val="pl-PL" w:eastAsia="zh-CN"/>
              </w:rPr>
              <w:t>urotelialnego</w:t>
            </w:r>
            <w:r w:rsidR="00790072" w:rsidRPr="00790072">
              <w:rPr>
                <w:rFonts w:ascii="Times New Roman" w:eastAsia="SimSun" w:hAnsi="Times New Roman"/>
                <w:b/>
                <w:sz w:val="20"/>
                <w:lang w:val="pl-PL" w:eastAsia="zh-CN"/>
              </w:rPr>
              <w:t xml:space="preserve"> </w:t>
            </w:r>
            <w:r w:rsidR="007F212B" w:rsidRPr="00790072">
              <w:rPr>
                <w:rFonts w:ascii="Times New Roman" w:eastAsia="SimSun" w:hAnsi="Times New Roman"/>
                <w:b/>
                <w:sz w:val="20"/>
                <w:lang w:val="pl-PL" w:eastAsia="zh-CN"/>
              </w:rPr>
              <w:t>w</w:t>
            </w:r>
            <w:r w:rsidR="00790072" w:rsidRPr="00790072">
              <w:rPr>
                <w:rFonts w:ascii="Times New Roman" w:eastAsia="SimSun" w:hAnsi="Times New Roman"/>
                <w:b/>
                <w:sz w:val="20"/>
                <w:lang w:val="pl-PL" w:eastAsia="zh-CN"/>
              </w:rPr>
              <w:t xml:space="preserve"> </w:t>
            </w:r>
            <w:r w:rsidR="007F212B" w:rsidRPr="00790072">
              <w:rPr>
                <w:rFonts w:ascii="Times New Roman" w:eastAsia="SimSun" w:hAnsi="Times New Roman"/>
                <w:b/>
                <w:sz w:val="20"/>
                <w:lang w:val="pl-PL" w:eastAsia="zh-CN"/>
              </w:rPr>
              <w:t>stadium</w:t>
            </w:r>
            <w:r w:rsidR="00790072" w:rsidRPr="00790072">
              <w:rPr>
                <w:rFonts w:ascii="Times New Roman" w:eastAsia="SimSun" w:hAnsi="Times New Roman"/>
                <w:b/>
                <w:sz w:val="20"/>
                <w:lang w:val="pl-PL" w:eastAsia="zh-CN"/>
              </w:rPr>
              <w:t xml:space="preserve"> </w:t>
            </w:r>
            <w:r w:rsidR="007F212B" w:rsidRPr="00790072">
              <w:rPr>
                <w:rFonts w:ascii="Times New Roman" w:eastAsia="SimSun" w:hAnsi="Times New Roman"/>
                <w:b/>
                <w:sz w:val="20"/>
                <w:lang w:val="pl-PL" w:eastAsia="zh-CN"/>
              </w:rPr>
              <w:t>miejscowego</w:t>
            </w:r>
            <w:r w:rsidR="00790072" w:rsidRPr="00790072">
              <w:rPr>
                <w:rFonts w:ascii="Times New Roman" w:eastAsia="SimSun" w:hAnsi="Times New Roman"/>
                <w:b/>
                <w:sz w:val="20"/>
                <w:lang w:val="pl-PL" w:eastAsia="zh-CN"/>
              </w:rPr>
              <w:t xml:space="preserve"> </w:t>
            </w:r>
            <w:r w:rsidR="007F212B" w:rsidRPr="00790072">
              <w:rPr>
                <w:rFonts w:ascii="Times New Roman" w:eastAsia="SimSun" w:hAnsi="Times New Roman"/>
                <w:b/>
                <w:sz w:val="20"/>
                <w:lang w:val="pl-PL" w:eastAsia="zh-CN"/>
              </w:rPr>
              <w:t>zaawansowania</w:t>
            </w:r>
            <w:r w:rsidR="00790072" w:rsidRPr="00790072">
              <w:rPr>
                <w:rFonts w:ascii="Times New Roman" w:eastAsia="SimSun" w:hAnsi="Times New Roman"/>
                <w:b/>
                <w:sz w:val="20"/>
                <w:lang w:val="pl-PL" w:eastAsia="zh-CN"/>
              </w:rPr>
              <w:t xml:space="preserve"> </w:t>
            </w:r>
            <w:r w:rsidR="007F212B" w:rsidRPr="00790072">
              <w:rPr>
                <w:rFonts w:ascii="Times New Roman" w:eastAsia="SimSun" w:hAnsi="Times New Roman"/>
                <w:b/>
                <w:sz w:val="20"/>
                <w:lang w:val="pl-PL" w:eastAsia="zh-CN"/>
              </w:rPr>
              <w:t>poza</w:t>
            </w:r>
            <w:r w:rsidR="00790072" w:rsidRPr="00790072">
              <w:rPr>
                <w:rFonts w:ascii="Times New Roman" w:eastAsia="SimSun" w:hAnsi="Times New Roman"/>
                <w:b/>
                <w:sz w:val="20"/>
                <w:lang w:val="pl-PL" w:eastAsia="zh-CN"/>
              </w:rPr>
              <w:t xml:space="preserve"> </w:t>
            </w:r>
            <w:r w:rsidR="007F212B" w:rsidRPr="00790072">
              <w:rPr>
                <w:rFonts w:ascii="Times New Roman" w:eastAsia="SimSun" w:hAnsi="Times New Roman"/>
                <w:b/>
                <w:sz w:val="20"/>
                <w:lang w:val="pl-PL" w:eastAsia="zh-CN"/>
              </w:rPr>
              <w:t>możliwościami</w:t>
            </w:r>
            <w:r w:rsidR="00790072" w:rsidRPr="00790072">
              <w:rPr>
                <w:rFonts w:ascii="Times New Roman" w:eastAsia="SimSun" w:hAnsi="Times New Roman"/>
                <w:b/>
                <w:sz w:val="20"/>
                <w:lang w:val="pl-PL" w:eastAsia="zh-CN"/>
              </w:rPr>
              <w:t xml:space="preserve"> </w:t>
            </w:r>
            <w:r w:rsidR="007F212B" w:rsidRPr="00790072">
              <w:rPr>
                <w:rFonts w:ascii="Times New Roman" w:eastAsia="SimSun" w:hAnsi="Times New Roman"/>
                <w:b/>
                <w:sz w:val="20"/>
                <w:lang w:val="pl-PL" w:eastAsia="zh-CN"/>
              </w:rPr>
              <w:t>miejscowego</w:t>
            </w:r>
            <w:r w:rsidR="00790072" w:rsidRPr="00790072">
              <w:rPr>
                <w:rFonts w:ascii="Times New Roman" w:eastAsia="SimSun" w:hAnsi="Times New Roman"/>
                <w:b/>
                <w:sz w:val="20"/>
                <w:lang w:val="pl-PL" w:eastAsia="zh-CN"/>
              </w:rPr>
              <w:t xml:space="preserve"> </w:t>
            </w:r>
            <w:r w:rsidR="007F212B" w:rsidRPr="00790072">
              <w:rPr>
                <w:rFonts w:ascii="Times New Roman" w:eastAsia="SimSun" w:hAnsi="Times New Roman"/>
                <w:b/>
                <w:sz w:val="20"/>
                <w:lang w:val="pl-PL" w:eastAsia="zh-CN"/>
              </w:rPr>
              <w:t>leczenia</w:t>
            </w:r>
            <w:r w:rsidR="00790072" w:rsidRPr="00790072">
              <w:rPr>
                <w:rFonts w:ascii="Times New Roman" w:eastAsia="SimSun" w:hAnsi="Times New Roman"/>
                <w:b/>
                <w:sz w:val="20"/>
                <w:lang w:val="pl-PL" w:eastAsia="zh-CN"/>
              </w:rPr>
              <w:t xml:space="preserve"> </w:t>
            </w:r>
            <w:r w:rsidR="007F212B" w:rsidRPr="00790072">
              <w:rPr>
                <w:rFonts w:ascii="Times New Roman" w:eastAsia="SimSun" w:hAnsi="Times New Roman"/>
                <w:b/>
                <w:sz w:val="20"/>
                <w:lang w:val="pl-PL" w:eastAsia="zh-CN"/>
              </w:rPr>
              <w:t>o</w:t>
            </w:r>
            <w:r w:rsidR="00790072" w:rsidRPr="00790072">
              <w:rPr>
                <w:rFonts w:ascii="Times New Roman" w:eastAsia="SimSun" w:hAnsi="Times New Roman"/>
                <w:b/>
                <w:sz w:val="20"/>
                <w:lang w:val="pl-PL" w:eastAsia="zh-CN"/>
              </w:rPr>
              <w:t xml:space="preserve"> </w:t>
            </w:r>
            <w:r w:rsidR="007F212B" w:rsidRPr="00790072">
              <w:rPr>
                <w:rFonts w:ascii="Times New Roman" w:eastAsia="SimSun" w:hAnsi="Times New Roman"/>
                <w:b/>
                <w:sz w:val="20"/>
                <w:lang w:val="pl-PL" w:eastAsia="zh-CN"/>
              </w:rPr>
              <w:t>charakterze</w:t>
            </w:r>
            <w:r w:rsidR="00790072" w:rsidRPr="00790072">
              <w:rPr>
                <w:rFonts w:ascii="Times New Roman" w:eastAsia="SimSun" w:hAnsi="Times New Roman"/>
                <w:b/>
                <w:sz w:val="20"/>
                <w:lang w:val="pl-PL" w:eastAsia="zh-CN"/>
              </w:rPr>
              <w:t xml:space="preserve"> </w:t>
            </w:r>
            <w:r w:rsidR="007F212B" w:rsidRPr="00790072">
              <w:rPr>
                <w:rFonts w:ascii="Times New Roman" w:eastAsia="SimSun" w:hAnsi="Times New Roman"/>
                <w:b/>
                <w:sz w:val="20"/>
                <w:lang w:val="pl-PL" w:eastAsia="zh-CN"/>
              </w:rPr>
              <w:t>radykalnym</w:t>
            </w:r>
            <w:r w:rsidR="00790072" w:rsidRPr="00790072">
              <w:rPr>
                <w:rFonts w:ascii="Times New Roman" w:eastAsia="SimSun" w:hAnsi="Times New Roman"/>
                <w:b/>
                <w:sz w:val="20"/>
                <w:lang w:val="pl-PL" w:eastAsia="zh-CN"/>
              </w:rPr>
              <w:t xml:space="preserve"> </w:t>
            </w:r>
            <w:r w:rsidR="007F212B" w:rsidRPr="00790072">
              <w:rPr>
                <w:rFonts w:ascii="Times New Roman" w:eastAsia="SimSun" w:hAnsi="Times New Roman"/>
                <w:b/>
                <w:sz w:val="20"/>
                <w:lang w:val="pl-PL" w:eastAsia="zh-CN"/>
              </w:rPr>
              <w:t>lub</w:t>
            </w:r>
            <w:r w:rsidR="00790072" w:rsidRPr="00790072">
              <w:rPr>
                <w:rFonts w:ascii="Times New Roman" w:eastAsia="SimSun" w:hAnsi="Times New Roman"/>
                <w:b/>
                <w:sz w:val="20"/>
                <w:lang w:val="pl-PL" w:eastAsia="zh-CN"/>
              </w:rPr>
              <w:t xml:space="preserve"> </w:t>
            </w:r>
            <w:r w:rsidR="007F212B" w:rsidRPr="00790072">
              <w:rPr>
                <w:rFonts w:ascii="Times New Roman" w:eastAsia="SimSun" w:hAnsi="Times New Roman"/>
                <w:b/>
                <w:sz w:val="20"/>
                <w:lang w:val="pl-PL" w:eastAsia="zh-CN"/>
              </w:rPr>
              <w:t>w</w:t>
            </w:r>
            <w:r w:rsidR="00790072" w:rsidRPr="00790072">
              <w:rPr>
                <w:rFonts w:ascii="Times New Roman" w:eastAsia="SimSun" w:hAnsi="Times New Roman"/>
                <w:b/>
                <w:sz w:val="20"/>
                <w:lang w:val="pl-PL" w:eastAsia="zh-CN"/>
              </w:rPr>
              <w:t xml:space="preserve"> </w:t>
            </w:r>
            <w:r w:rsidR="007F212B" w:rsidRPr="00790072">
              <w:rPr>
                <w:rFonts w:ascii="Times New Roman" w:eastAsia="SimSun" w:hAnsi="Times New Roman"/>
                <w:b/>
                <w:sz w:val="20"/>
                <w:lang w:val="pl-PL" w:eastAsia="zh-CN"/>
              </w:rPr>
              <w:t>stadium</w:t>
            </w:r>
            <w:r w:rsidR="00790072" w:rsidRPr="00790072">
              <w:rPr>
                <w:rFonts w:ascii="Times New Roman" w:eastAsia="SimSun" w:hAnsi="Times New Roman"/>
                <w:b/>
                <w:sz w:val="20"/>
                <w:lang w:val="pl-PL" w:eastAsia="zh-CN"/>
              </w:rPr>
              <w:t xml:space="preserve"> </w:t>
            </w:r>
            <w:r w:rsidR="007F212B" w:rsidRPr="00790072">
              <w:rPr>
                <w:rFonts w:ascii="Times New Roman" w:eastAsia="SimSun" w:hAnsi="Times New Roman"/>
                <w:b/>
                <w:sz w:val="20"/>
                <w:lang w:val="pl-PL" w:eastAsia="zh-CN"/>
              </w:rPr>
              <w:t>uogólnienia</w:t>
            </w:r>
            <w:r w:rsidR="00790072" w:rsidRPr="00790072">
              <w:rPr>
                <w:rFonts w:ascii="Times New Roman" w:eastAsia="SimSun" w:hAnsi="Times New Roman"/>
                <w:b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b/>
                <w:sz w:val="20"/>
                <w:lang w:val="pl-PL" w:eastAsia="zh-CN"/>
              </w:rPr>
              <w:t>u</w:t>
            </w:r>
            <w:r w:rsidR="00790072" w:rsidRPr="00790072">
              <w:rPr>
                <w:rFonts w:ascii="Times New Roman" w:eastAsia="SimSun" w:hAnsi="Times New Roman"/>
                <w:b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b/>
                <w:sz w:val="20"/>
                <w:lang w:val="pl-PL" w:eastAsia="zh-CN"/>
              </w:rPr>
              <w:t>pacjentów,</w:t>
            </w:r>
            <w:r w:rsidR="00790072" w:rsidRPr="00790072">
              <w:rPr>
                <w:rFonts w:ascii="Times New Roman" w:eastAsia="SimSun" w:hAnsi="Times New Roman"/>
                <w:b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b/>
                <w:sz w:val="20"/>
                <w:lang w:val="pl-PL" w:eastAsia="zh-CN"/>
              </w:rPr>
              <w:t>u</w:t>
            </w:r>
            <w:r w:rsidR="00790072" w:rsidRPr="00790072">
              <w:rPr>
                <w:rFonts w:ascii="Times New Roman" w:eastAsia="SimSun" w:hAnsi="Times New Roman"/>
                <w:b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b/>
                <w:sz w:val="20"/>
                <w:lang w:val="pl-PL" w:eastAsia="zh-CN"/>
              </w:rPr>
              <w:t>których</w:t>
            </w:r>
            <w:r w:rsidR="00790072" w:rsidRPr="00790072">
              <w:rPr>
                <w:rFonts w:ascii="Times New Roman" w:eastAsia="SimSun" w:hAnsi="Times New Roman"/>
                <w:b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b/>
                <w:sz w:val="20"/>
                <w:lang w:val="pl-PL" w:eastAsia="zh-CN"/>
              </w:rPr>
              <w:t>nie</w:t>
            </w:r>
            <w:r w:rsidR="00790072" w:rsidRPr="00790072">
              <w:rPr>
                <w:rFonts w:ascii="Times New Roman" w:eastAsia="SimSun" w:hAnsi="Times New Roman"/>
                <w:b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b/>
                <w:sz w:val="20"/>
                <w:lang w:val="pl-PL" w:eastAsia="zh-CN"/>
              </w:rPr>
              <w:t>doszło</w:t>
            </w:r>
            <w:r w:rsidR="00790072" w:rsidRPr="00790072">
              <w:rPr>
                <w:rFonts w:ascii="Times New Roman" w:eastAsia="SimSun" w:hAnsi="Times New Roman"/>
                <w:b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b/>
                <w:sz w:val="20"/>
                <w:lang w:val="pl-PL" w:eastAsia="zh-CN"/>
              </w:rPr>
              <w:t>do</w:t>
            </w:r>
            <w:r w:rsidR="00790072" w:rsidRPr="00790072">
              <w:rPr>
                <w:rFonts w:ascii="Times New Roman" w:eastAsia="SimSun" w:hAnsi="Times New Roman"/>
                <w:b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b/>
                <w:sz w:val="20"/>
                <w:lang w:val="pl-PL" w:eastAsia="zh-CN"/>
              </w:rPr>
              <w:t>progresji</w:t>
            </w:r>
            <w:r w:rsidR="00790072" w:rsidRPr="00790072">
              <w:rPr>
                <w:rFonts w:ascii="Times New Roman" w:eastAsia="SimSun" w:hAnsi="Times New Roman"/>
                <w:b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b/>
                <w:sz w:val="20"/>
                <w:lang w:val="pl-PL" w:eastAsia="zh-CN"/>
              </w:rPr>
              <w:t>choroby</w:t>
            </w:r>
            <w:r w:rsidR="00790072" w:rsidRPr="00790072">
              <w:rPr>
                <w:rFonts w:ascii="Times New Roman" w:eastAsia="SimSun" w:hAnsi="Times New Roman"/>
                <w:b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b/>
                <w:sz w:val="20"/>
                <w:lang w:val="pl-PL" w:eastAsia="zh-CN"/>
              </w:rPr>
              <w:t>podczas</w:t>
            </w:r>
            <w:r w:rsidR="00790072" w:rsidRPr="00790072">
              <w:rPr>
                <w:rFonts w:ascii="Times New Roman" w:eastAsia="SimSun" w:hAnsi="Times New Roman"/>
                <w:b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b/>
                <w:sz w:val="20"/>
                <w:lang w:val="pl-PL" w:eastAsia="zh-CN"/>
              </w:rPr>
              <w:t>stosowania</w:t>
            </w:r>
            <w:r w:rsidR="00790072" w:rsidRPr="00790072">
              <w:rPr>
                <w:rFonts w:ascii="Times New Roman" w:eastAsia="SimSun" w:hAnsi="Times New Roman"/>
                <w:b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b/>
                <w:sz w:val="20"/>
                <w:lang w:val="pl-PL" w:eastAsia="zh-CN"/>
              </w:rPr>
              <w:t>chemioterapii</w:t>
            </w:r>
            <w:r w:rsidR="00790072" w:rsidRPr="00790072">
              <w:rPr>
                <w:rFonts w:ascii="Times New Roman" w:eastAsia="SimSun" w:hAnsi="Times New Roman"/>
                <w:b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b/>
                <w:sz w:val="20"/>
                <w:lang w:val="pl-PL" w:eastAsia="zh-CN"/>
              </w:rPr>
              <w:t>paliatywnej</w:t>
            </w:r>
            <w:r w:rsidR="00790072" w:rsidRPr="00790072">
              <w:rPr>
                <w:rFonts w:ascii="Times New Roman" w:eastAsia="SimSun" w:hAnsi="Times New Roman"/>
                <w:b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b/>
                <w:sz w:val="20"/>
                <w:lang w:val="pl-PL" w:eastAsia="zh-CN"/>
              </w:rPr>
              <w:t>opartej</w:t>
            </w:r>
            <w:r w:rsidR="00790072" w:rsidRPr="00790072">
              <w:rPr>
                <w:rFonts w:ascii="Times New Roman" w:eastAsia="SimSun" w:hAnsi="Times New Roman"/>
                <w:b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b/>
                <w:sz w:val="20"/>
                <w:lang w:val="pl-PL" w:eastAsia="zh-CN"/>
              </w:rPr>
              <w:t>na</w:t>
            </w:r>
            <w:r w:rsidR="00790072" w:rsidRPr="00790072">
              <w:rPr>
                <w:rFonts w:ascii="Times New Roman" w:eastAsia="SimSun" w:hAnsi="Times New Roman"/>
                <w:b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b/>
                <w:sz w:val="20"/>
                <w:lang w:val="pl-PL" w:eastAsia="zh-CN"/>
              </w:rPr>
              <w:t>pochodnych</w:t>
            </w:r>
            <w:r w:rsidR="00790072" w:rsidRPr="00790072">
              <w:rPr>
                <w:rFonts w:ascii="Times New Roman" w:eastAsia="SimSun" w:hAnsi="Times New Roman"/>
                <w:b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b/>
                <w:sz w:val="20"/>
                <w:lang w:val="pl-PL" w:eastAsia="zh-CN"/>
              </w:rPr>
              <w:t>platyny</w:t>
            </w:r>
          </w:p>
          <w:p w14:paraId="1066A6A8" w14:textId="4A7AC5A7" w:rsidR="00287AA4" w:rsidRPr="00790072" w:rsidRDefault="00287AA4" w:rsidP="00790072">
            <w:pPr>
              <w:widowControl w:val="0"/>
              <w:numPr>
                <w:ilvl w:val="1"/>
                <w:numId w:val="11"/>
              </w:numPr>
              <w:spacing w:after="60" w:line="276" w:lineRule="auto"/>
              <w:jc w:val="both"/>
              <w:rPr>
                <w:rFonts w:ascii="Times New Roman" w:eastAsia="Calibri" w:hAnsi="Times New Roman"/>
                <w:b/>
                <w:sz w:val="20"/>
                <w:lang w:val="pl-PL" w:eastAsia="en-US"/>
              </w:rPr>
            </w:pPr>
            <w:r w:rsidRPr="00790072">
              <w:rPr>
                <w:rFonts w:ascii="Times New Roman" w:eastAsia="Calibri" w:hAnsi="Times New Roman"/>
                <w:b/>
                <w:color w:val="000000"/>
                <w:sz w:val="20"/>
                <w:lang w:val="pl-PL" w:eastAsia="en-US" w:bidi="pl-PL"/>
              </w:rPr>
              <w:t>Kryteria</w:t>
            </w:r>
            <w:r w:rsidR="00790072" w:rsidRPr="00790072">
              <w:rPr>
                <w:rFonts w:ascii="Times New Roman" w:eastAsia="Calibri" w:hAnsi="Times New Roman"/>
                <w:b/>
                <w:color w:val="000000"/>
                <w:sz w:val="20"/>
                <w:lang w:val="pl-PL" w:eastAsia="en-US" w:bidi="pl-PL"/>
              </w:rPr>
              <w:t xml:space="preserve"> </w:t>
            </w:r>
            <w:r w:rsidRPr="00790072">
              <w:rPr>
                <w:rFonts w:ascii="Times New Roman" w:eastAsia="Calibri" w:hAnsi="Times New Roman"/>
                <w:b/>
                <w:color w:val="000000"/>
                <w:sz w:val="20"/>
                <w:lang w:val="pl-PL" w:eastAsia="en-US" w:bidi="pl-PL"/>
              </w:rPr>
              <w:t>kwalifikacji</w:t>
            </w:r>
          </w:p>
          <w:p w14:paraId="4D143C98" w14:textId="68A28112" w:rsidR="00D90518" w:rsidRPr="00790072" w:rsidRDefault="008725F5" w:rsidP="00790072">
            <w:pPr>
              <w:widowControl w:val="0"/>
              <w:numPr>
                <w:ilvl w:val="3"/>
                <w:numId w:val="11"/>
              </w:numPr>
              <w:spacing w:after="60" w:line="276" w:lineRule="auto"/>
              <w:jc w:val="both"/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</w:pPr>
            <w:r w:rsidRPr="00790072">
              <w:rPr>
                <w:rFonts w:ascii="Times New Roman" w:hAnsi="Times New Roman"/>
                <w:sz w:val="20"/>
                <w:lang w:val="pl-PL"/>
              </w:rPr>
              <w:t>h</w:t>
            </w:r>
            <w:r w:rsidR="00E57242" w:rsidRPr="00790072">
              <w:rPr>
                <w:rFonts w:ascii="Times New Roman" w:hAnsi="Times New Roman"/>
                <w:sz w:val="20"/>
                <w:lang w:val="pl-PL"/>
              </w:rPr>
              <w:t>istologicznie</w:t>
            </w:r>
            <w:r w:rsidR="00790072" w:rsidRPr="00790072">
              <w:rPr>
                <w:rFonts w:ascii="Times New Roman" w:hAnsi="Times New Roman"/>
                <w:sz w:val="20"/>
                <w:lang w:val="pl-PL"/>
              </w:rPr>
              <w:t xml:space="preserve"> </w:t>
            </w:r>
            <w:r w:rsidR="00E57242" w:rsidRPr="00790072">
              <w:rPr>
                <w:rFonts w:ascii="Times New Roman" w:hAnsi="Times New Roman"/>
                <w:sz w:val="20"/>
                <w:lang w:val="pl-PL"/>
              </w:rPr>
              <w:t>potwierdzone</w:t>
            </w:r>
            <w:r w:rsidR="00790072" w:rsidRPr="00790072">
              <w:rPr>
                <w:rFonts w:ascii="Times New Roman" w:hAnsi="Times New Roman"/>
                <w:sz w:val="20"/>
                <w:lang w:val="pl-PL"/>
              </w:rPr>
              <w:t xml:space="preserve"> </w:t>
            </w:r>
            <w:r w:rsidR="00E57242" w:rsidRPr="00790072">
              <w:rPr>
                <w:rFonts w:ascii="Times New Roman" w:hAnsi="Times New Roman"/>
                <w:sz w:val="20"/>
                <w:lang w:val="pl-PL"/>
              </w:rPr>
              <w:t>rozpoznanie</w:t>
            </w:r>
            <w:r w:rsidR="00790072" w:rsidRPr="00790072">
              <w:rPr>
                <w:rFonts w:ascii="Times New Roman" w:hAnsi="Times New Roman"/>
                <w:sz w:val="20"/>
                <w:lang w:val="pl-PL"/>
              </w:rPr>
              <w:t xml:space="preserve"> </w:t>
            </w:r>
            <w:r w:rsidR="00E57242" w:rsidRPr="00790072">
              <w:rPr>
                <w:rFonts w:ascii="Times New Roman" w:hAnsi="Times New Roman"/>
                <w:sz w:val="20"/>
                <w:lang w:val="pl-PL"/>
              </w:rPr>
              <w:t>urotelialnego</w:t>
            </w:r>
            <w:r w:rsidR="00790072" w:rsidRPr="00790072">
              <w:rPr>
                <w:rFonts w:ascii="Times New Roman" w:hAnsi="Times New Roman"/>
                <w:sz w:val="20"/>
                <w:lang w:val="pl-PL"/>
              </w:rPr>
              <w:t xml:space="preserve"> </w:t>
            </w:r>
            <w:r w:rsidR="00E57242" w:rsidRPr="00790072">
              <w:rPr>
                <w:rFonts w:ascii="Times New Roman" w:hAnsi="Times New Roman"/>
                <w:sz w:val="20"/>
                <w:lang w:val="pl-PL"/>
              </w:rPr>
              <w:t>raka</w:t>
            </w:r>
            <w:r w:rsidR="00790072" w:rsidRPr="00790072">
              <w:rPr>
                <w:rFonts w:ascii="Times New Roman" w:hAnsi="Times New Roman"/>
                <w:sz w:val="20"/>
                <w:lang w:val="pl-PL"/>
              </w:rPr>
              <w:t xml:space="preserve"> </w:t>
            </w:r>
            <w:r w:rsidR="00E57242" w:rsidRPr="00790072">
              <w:rPr>
                <w:rFonts w:ascii="Times New Roman" w:hAnsi="Times New Roman"/>
                <w:sz w:val="20"/>
                <w:lang w:val="pl-PL"/>
              </w:rPr>
              <w:t>pęcherza</w:t>
            </w:r>
            <w:r w:rsidR="00790072" w:rsidRPr="00790072">
              <w:rPr>
                <w:rFonts w:ascii="Times New Roman" w:hAnsi="Times New Roman"/>
                <w:sz w:val="20"/>
                <w:lang w:val="pl-PL"/>
              </w:rPr>
              <w:t xml:space="preserve"> </w:t>
            </w:r>
            <w:r w:rsidR="00E57242" w:rsidRPr="00790072">
              <w:rPr>
                <w:rFonts w:ascii="Times New Roman" w:hAnsi="Times New Roman"/>
                <w:sz w:val="20"/>
                <w:lang w:val="pl-PL"/>
              </w:rPr>
              <w:t>moczowego,</w:t>
            </w:r>
            <w:r w:rsidR="00790072" w:rsidRPr="00790072">
              <w:rPr>
                <w:rFonts w:ascii="Times New Roman" w:hAnsi="Times New Roman"/>
                <w:sz w:val="20"/>
                <w:lang w:val="pl-PL"/>
              </w:rPr>
              <w:t xml:space="preserve"> </w:t>
            </w:r>
            <w:r w:rsidR="00E57242" w:rsidRPr="00790072">
              <w:rPr>
                <w:rFonts w:ascii="Times New Roman" w:hAnsi="Times New Roman"/>
                <w:sz w:val="20"/>
                <w:lang w:val="pl-PL"/>
              </w:rPr>
              <w:t>lub</w:t>
            </w:r>
            <w:r w:rsidR="00790072" w:rsidRPr="00790072">
              <w:rPr>
                <w:rFonts w:ascii="Times New Roman" w:hAnsi="Times New Roman"/>
                <w:sz w:val="20"/>
                <w:lang w:val="pl-PL"/>
              </w:rPr>
              <w:t xml:space="preserve"> </w:t>
            </w:r>
            <w:r w:rsidR="00E57242" w:rsidRPr="00790072">
              <w:rPr>
                <w:rFonts w:ascii="Times New Roman" w:hAnsi="Times New Roman"/>
                <w:sz w:val="20"/>
                <w:lang w:val="pl-PL"/>
              </w:rPr>
              <w:t>miedniczki</w:t>
            </w:r>
            <w:r w:rsidR="00790072" w:rsidRPr="00790072">
              <w:rPr>
                <w:rFonts w:ascii="Times New Roman" w:hAnsi="Times New Roman"/>
                <w:sz w:val="20"/>
                <w:lang w:val="pl-PL"/>
              </w:rPr>
              <w:t xml:space="preserve"> </w:t>
            </w:r>
            <w:r w:rsidR="00E57242" w:rsidRPr="00790072">
              <w:rPr>
                <w:rFonts w:ascii="Times New Roman" w:hAnsi="Times New Roman"/>
                <w:sz w:val="20"/>
                <w:lang w:val="pl-PL"/>
              </w:rPr>
              <w:t>nerkowej,</w:t>
            </w:r>
            <w:r w:rsidR="00790072" w:rsidRPr="00790072">
              <w:rPr>
                <w:rFonts w:ascii="Times New Roman" w:hAnsi="Times New Roman"/>
                <w:sz w:val="20"/>
                <w:lang w:val="pl-PL"/>
              </w:rPr>
              <w:t xml:space="preserve"> </w:t>
            </w:r>
            <w:r w:rsidR="00E57242" w:rsidRPr="00790072">
              <w:rPr>
                <w:rFonts w:ascii="Times New Roman" w:hAnsi="Times New Roman"/>
                <w:sz w:val="20"/>
                <w:lang w:val="pl-PL"/>
              </w:rPr>
              <w:t>lub</w:t>
            </w:r>
            <w:r w:rsidR="00790072" w:rsidRPr="00790072">
              <w:rPr>
                <w:rFonts w:ascii="Times New Roman" w:hAnsi="Times New Roman"/>
                <w:sz w:val="20"/>
                <w:lang w:val="pl-PL"/>
              </w:rPr>
              <w:t xml:space="preserve"> </w:t>
            </w:r>
            <w:r w:rsidR="00E57242" w:rsidRPr="00790072">
              <w:rPr>
                <w:rFonts w:ascii="Times New Roman" w:hAnsi="Times New Roman"/>
                <w:sz w:val="20"/>
                <w:lang w:val="pl-PL"/>
              </w:rPr>
              <w:t>cewki</w:t>
            </w:r>
            <w:r w:rsidR="00790072" w:rsidRPr="00790072">
              <w:rPr>
                <w:rFonts w:ascii="Times New Roman" w:hAnsi="Times New Roman"/>
                <w:sz w:val="20"/>
                <w:lang w:val="pl-PL"/>
              </w:rPr>
              <w:t xml:space="preserve"> </w:t>
            </w:r>
            <w:r w:rsidR="00E57242" w:rsidRPr="00790072">
              <w:rPr>
                <w:rFonts w:ascii="Times New Roman" w:hAnsi="Times New Roman"/>
                <w:sz w:val="20"/>
                <w:lang w:val="pl-PL"/>
              </w:rPr>
              <w:t>moczowej,</w:t>
            </w:r>
            <w:r w:rsidR="00790072" w:rsidRPr="00790072">
              <w:rPr>
                <w:rFonts w:ascii="Times New Roman" w:hAnsi="Times New Roman"/>
                <w:sz w:val="20"/>
                <w:lang w:val="pl-PL"/>
              </w:rPr>
              <w:t xml:space="preserve"> </w:t>
            </w:r>
            <w:r w:rsidR="00E57242" w:rsidRPr="00790072">
              <w:rPr>
                <w:rFonts w:ascii="Times New Roman" w:hAnsi="Times New Roman"/>
                <w:sz w:val="20"/>
                <w:lang w:val="pl-PL"/>
              </w:rPr>
              <w:t>lub</w:t>
            </w:r>
            <w:r w:rsidR="00790072" w:rsidRPr="00790072">
              <w:rPr>
                <w:rFonts w:ascii="Times New Roman" w:hAnsi="Times New Roman"/>
                <w:sz w:val="20"/>
                <w:lang w:val="pl-PL"/>
              </w:rPr>
              <w:t xml:space="preserve"> </w:t>
            </w:r>
            <w:r w:rsidR="00E57242" w:rsidRPr="00790072">
              <w:rPr>
                <w:rFonts w:ascii="Times New Roman" w:hAnsi="Times New Roman"/>
                <w:sz w:val="20"/>
                <w:lang w:val="pl-PL"/>
              </w:rPr>
              <w:t>moczowodu</w:t>
            </w:r>
            <w:r w:rsidR="00790072" w:rsidRPr="00790072">
              <w:rPr>
                <w:rFonts w:ascii="Times New Roman" w:hAnsi="Times New Roman"/>
                <w:sz w:val="20"/>
                <w:lang w:val="pl-PL"/>
              </w:rPr>
              <w:t xml:space="preserve"> </w:t>
            </w:r>
            <w:r w:rsidR="00E57242" w:rsidRPr="00790072">
              <w:rPr>
                <w:rFonts w:ascii="Times New Roman" w:hAnsi="Times New Roman"/>
                <w:sz w:val="20"/>
                <w:lang w:val="pl-PL"/>
              </w:rPr>
              <w:t>lub</w:t>
            </w:r>
            <w:r w:rsidR="00790072" w:rsidRPr="00790072">
              <w:rPr>
                <w:rFonts w:ascii="Times New Roman" w:hAnsi="Times New Roman"/>
                <w:sz w:val="20"/>
                <w:lang w:val="pl-PL"/>
              </w:rPr>
              <w:t xml:space="preserve"> </w:t>
            </w:r>
            <w:r w:rsidR="00E57242" w:rsidRPr="00790072">
              <w:rPr>
                <w:rFonts w:ascii="Times New Roman" w:hAnsi="Times New Roman"/>
                <w:sz w:val="20"/>
                <w:lang w:val="pl-PL"/>
              </w:rPr>
              <w:t>gruczołu</w:t>
            </w:r>
            <w:r w:rsidR="00790072" w:rsidRPr="00790072">
              <w:rPr>
                <w:rFonts w:ascii="Times New Roman" w:hAnsi="Times New Roman"/>
                <w:sz w:val="20"/>
                <w:lang w:val="pl-PL"/>
              </w:rPr>
              <w:t xml:space="preserve"> </w:t>
            </w:r>
            <w:r w:rsidR="00E57242" w:rsidRPr="00790072">
              <w:rPr>
                <w:rFonts w:ascii="Times New Roman" w:hAnsi="Times New Roman"/>
                <w:sz w:val="20"/>
                <w:lang w:val="pl-PL"/>
              </w:rPr>
              <w:t>krokowego;</w:t>
            </w:r>
            <w:r w:rsidR="00790072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 xml:space="preserve"> </w:t>
            </w:r>
          </w:p>
          <w:p w14:paraId="1C656A96" w14:textId="36A4A850" w:rsidR="00287AA4" w:rsidRPr="00790072" w:rsidRDefault="007F212B" w:rsidP="00790072">
            <w:pPr>
              <w:widowControl w:val="0"/>
              <w:numPr>
                <w:ilvl w:val="3"/>
                <w:numId w:val="11"/>
              </w:numPr>
              <w:tabs>
                <w:tab w:val="left" w:pos="596"/>
              </w:tabs>
              <w:spacing w:after="60" w:line="276" w:lineRule="auto"/>
              <w:jc w:val="both"/>
              <w:rPr>
                <w:rFonts w:ascii="Times New Roman" w:eastAsia="Calibri" w:hAnsi="Times New Roman"/>
                <w:sz w:val="20"/>
                <w:lang w:val="pl-PL" w:eastAsia="en-US"/>
              </w:rPr>
            </w:pP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rak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w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stadium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miejscowego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zaawansowania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poza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możliwościami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miejscowego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leczenia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o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charakterze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radykalnym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lub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w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stadium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uogólnienia</w:t>
            </w:r>
            <w:r w:rsidR="00287AA4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;</w:t>
            </w:r>
          </w:p>
          <w:p w14:paraId="79B6CE63" w14:textId="1E7CB5AA" w:rsidR="00287AA4" w:rsidRPr="00790072" w:rsidRDefault="00E57242" w:rsidP="00790072">
            <w:pPr>
              <w:widowControl w:val="0"/>
              <w:numPr>
                <w:ilvl w:val="3"/>
                <w:numId w:val="11"/>
              </w:numPr>
              <w:tabs>
                <w:tab w:val="left" w:pos="596"/>
              </w:tabs>
              <w:spacing w:after="60" w:line="276" w:lineRule="auto"/>
              <w:jc w:val="both"/>
              <w:rPr>
                <w:rFonts w:ascii="Times New Roman" w:eastAsia="Calibri" w:hAnsi="Times New Roman"/>
                <w:sz w:val="20"/>
                <w:lang w:val="pl-PL" w:eastAsia="en-US"/>
              </w:rPr>
            </w:pP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nieobecność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="00287AA4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progresji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="00287AA4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choroby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="00287AA4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podczas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="00287AA4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stosowania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="00287AA4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chemioterapii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="00287AA4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paliatywnej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="00287AA4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opartej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="00287AA4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na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="00287AA4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pochodnych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="00287AA4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platyny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="00287AA4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(</w:t>
            </w:r>
            <w:r w:rsidR="00A6006A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po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="00A6006A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zastosowaniu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="00A6006A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4-6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="00287AA4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cykli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="00287AA4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cisplatyny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="00287AA4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z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="00287AA4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gemcytabiną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="00287AA4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lub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="00287AA4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karboplatyny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="00287AA4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z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="00287AA4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gemcytabiną);</w:t>
            </w:r>
          </w:p>
          <w:p w14:paraId="75189A42" w14:textId="006B33BE" w:rsidR="00287AA4" w:rsidRPr="00790072" w:rsidRDefault="00A6006A" w:rsidP="00790072">
            <w:pPr>
              <w:widowControl w:val="0"/>
              <w:numPr>
                <w:ilvl w:val="3"/>
                <w:numId w:val="11"/>
              </w:numPr>
              <w:tabs>
                <w:tab w:val="left" w:pos="596"/>
              </w:tabs>
              <w:spacing w:after="60" w:line="276" w:lineRule="auto"/>
              <w:jc w:val="both"/>
              <w:rPr>
                <w:rFonts w:ascii="Times New Roman" w:eastAsia="Calibri" w:hAnsi="Times New Roman"/>
                <w:sz w:val="20"/>
                <w:lang w:val="pl-PL" w:eastAsia="en-US"/>
              </w:rPr>
            </w:pPr>
            <w:r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>zachowanie</w:t>
            </w:r>
            <w:r w:rsidR="00790072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 xml:space="preserve"> </w:t>
            </w:r>
            <w:r w:rsidR="00287AA4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>okres</w:t>
            </w:r>
            <w:r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>u</w:t>
            </w:r>
            <w:r w:rsidR="00790072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 xml:space="preserve"> </w:t>
            </w:r>
            <w:r w:rsidR="00287AA4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>bez</w:t>
            </w:r>
            <w:r w:rsidR="00790072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 xml:space="preserve"> </w:t>
            </w:r>
            <w:r w:rsidR="00287AA4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>leczenia</w:t>
            </w:r>
            <w:r w:rsidR="00790072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 xml:space="preserve"> </w:t>
            </w:r>
            <w:r w:rsidR="00706DEA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>wynoszącego</w:t>
            </w:r>
            <w:r w:rsidR="00790072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 xml:space="preserve"> </w:t>
            </w:r>
            <w:r w:rsidR="00287AA4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>od</w:t>
            </w:r>
            <w:r w:rsidR="00790072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 xml:space="preserve"> </w:t>
            </w:r>
            <w:r w:rsidR="00287AA4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>4</w:t>
            </w:r>
            <w:r w:rsidR="00790072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 xml:space="preserve"> </w:t>
            </w:r>
            <w:r w:rsidR="00287AA4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>do</w:t>
            </w:r>
            <w:r w:rsidR="00790072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 xml:space="preserve"> </w:t>
            </w:r>
            <w:r w:rsidR="00287AA4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>10</w:t>
            </w:r>
            <w:r w:rsidR="00790072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 xml:space="preserve"> </w:t>
            </w:r>
            <w:r w:rsidR="00287AA4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>tygodni</w:t>
            </w:r>
            <w:r w:rsidR="00790072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 xml:space="preserve"> </w:t>
            </w:r>
            <w:r w:rsidR="00287AA4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>od</w:t>
            </w:r>
            <w:r w:rsidR="00790072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 xml:space="preserve"> </w:t>
            </w:r>
            <w:r w:rsidR="00287AA4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>ostatniego</w:t>
            </w:r>
            <w:r w:rsidR="00790072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 xml:space="preserve"> </w:t>
            </w:r>
            <w:r w:rsidR="00287AA4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>podania</w:t>
            </w:r>
            <w:r w:rsidR="00790072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 xml:space="preserve"> </w:t>
            </w:r>
            <w:r w:rsidR="00287AA4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>chemioterapii</w:t>
            </w:r>
            <w:r w:rsidR="00790072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 xml:space="preserve"> </w:t>
            </w:r>
            <w:r w:rsidR="00287AA4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>paliatywnej;</w:t>
            </w:r>
          </w:p>
          <w:p w14:paraId="4BE2BE34" w14:textId="6510DAE5" w:rsidR="00287AA4" w:rsidRPr="00790072" w:rsidRDefault="00287AA4" w:rsidP="00790072">
            <w:pPr>
              <w:widowControl w:val="0"/>
              <w:numPr>
                <w:ilvl w:val="3"/>
                <w:numId w:val="11"/>
              </w:numPr>
              <w:tabs>
                <w:tab w:val="left" w:pos="596"/>
              </w:tabs>
              <w:spacing w:after="60" w:line="276" w:lineRule="auto"/>
              <w:jc w:val="both"/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</w:pPr>
            <w:r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>obecność</w:t>
            </w:r>
            <w:r w:rsidR="00790072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 xml:space="preserve"> </w:t>
            </w:r>
            <w:r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>zmian</w:t>
            </w:r>
            <w:r w:rsidR="00790072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 xml:space="preserve"> </w:t>
            </w:r>
            <w:r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>mierzalnych</w:t>
            </w:r>
            <w:r w:rsidR="00790072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 xml:space="preserve"> </w:t>
            </w:r>
            <w:r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>według</w:t>
            </w:r>
            <w:r w:rsidR="00790072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 xml:space="preserve"> </w:t>
            </w:r>
            <w:r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>kryteriów</w:t>
            </w:r>
            <w:r w:rsidR="00790072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 xml:space="preserve"> </w:t>
            </w:r>
            <w:r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>klasyfikacji</w:t>
            </w:r>
            <w:r w:rsidR="00790072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 xml:space="preserve"> </w:t>
            </w:r>
            <w:r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>RECIST</w:t>
            </w:r>
            <w:r w:rsidR="00790072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 xml:space="preserve"> </w:t>
            </w:r>
            <w:r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>1.1</w:t>
            </w:r>
            <w:r w:rsidR="00790072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 xml:space="preserve"> </w:t>
            </w:r>
            <w:r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>przed</w:t>
            </w:r>
            <w:r w:rsidR="00790072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 xml:space="preserve"> </w:t>
            </w:r>
            <w:r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>otrzymaniem</w:t>
            </w:r>
            <w:r w:rsidR="00790072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 xml:space="preserve"> </w:t>
            </w:r>
            <w:r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>chemioterapii</w:t>
            </w:r>
            <w:r w:rsidR="00790072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 xml:space="preserve"> </w:t>
            </w:r>
            <w:r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>paliatywnej;</w:t>
            </w:r>
          </w:p>
          <w:p w14:paraId="54A79DD7" w14:textId="3BCC01DA" w:rsidR="00287AA4" w:rsidRPr="00790072" w:rsidRDefault="00287AA4" w:rsidP="00790072">
            <w:pPr>
              <w:widowControl w:val="0"/>
              <w:numPr>
                <w:ilvl w:val="3"/>
                <w:numId w:val="11"/>
              </w:numPr>
              <w:tabs>
                <w:tab w:val="left" w:pos="596"/>
              </w:tabs>
              <w:spacing w:after="60" w:line="276" w:lineRule="auto"/>
              <w:jc w:val="both"/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</w:pPr>
            <w:r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>stan</w:t>
            </w:r>
            <w:r w:rsidR="00790072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 xml:space="preserve"> </w:t>
            </w:r>
            <w:r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>sprawności</w:t>
            </w:r>
            <w:r w:rsidR="00790072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 xml:space="preserve"> </w:t>
            </w:r>
            <w:r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>0-1</w:t>
            </w:r>
            <w:r w:rsidR="00790072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 xml:space="preserve"> </w:t>
            </w:r>
            <w:r w:rsidR="008250ED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>według</w:t>
            </w:r>
            <w:r w:rsidR="00790072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 xml:space="preserve"> </w:t>
            </w:r>
            <w:r w:rsidR="008250ED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>kryteriów</w:t>
            </w:r>
            <w:r w:rsidR="00790072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 xml:space="preserve"> </w:t>
            </w:r>
            <w:r w:rsidR="008250ED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>Zubroda-WHO</w:t>
            </w:r>
            <w:r w:rsidR="00790072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 xml:space="preserve"> </w:t>
            </w:r>
            <w:r w:rsidR="008250ED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>lub</w:t>
            </w:r>
            <w:r w:rsidR="00790072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 xml:space="preserve"> </w:t>
            </w:r>
            <w:r w:rsidR="008250ED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>ECOG;</w:t>
            </w:r>
          </w:p>
          <w:p w14:paraId="3D5F2FDA" w14:textId="76710BEF" w:rsidR="00287AA4" w:rsidRPr="00790072" w:rsidRDefault="00287AA4" w:rsidP="00790072">
            <w:pPr>
              <w:widowControl w:val="0"/>
              <w:numPr>
                <w:ilvl w:val="3"/>
                <w:numId w:val="11"/>
              </w:numPr>
              <w:tabs>
                <w:tab w:val="left" w:pos="596"/>
              </w:tabs>
              <w:spacing w:after="60" w:line="276" w:lineRule="auto"/>
              <w:jc w:val="both"/>
              <w:rPr>
                <w:rFonts w:ascii="Times New Roman" w:eastAsia="Calibri" w:hAnsi="Times New Roman"/>
                <w:sz w:val="20"/>
                <w:lang w:val="pl-PL" w:eastAsia="en-US"/>
              </w:rPr>
            </w:pPr>
            <w:r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>wiek</w:t>
            </w:r>
            <w:r w:rsidR="00790072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 xml:space="preserve"> </w:t>
            </w:r>
            <w:r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>powyżej</w:t>
            </w:r>
            <w:r w:rsidR="00790072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 xml:space="preserve"> </w:t>
            </w:r>
            <w:r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>18.</w:t>
            </w:r>
            <w:r w:rsidR="00790072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 xml:space="preserve"> </w:t>
            </w:r>
            <w:r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>roku</w:t>
            </w:r>
            <w:r w:rsidR="00790072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 xml:space="preserve"> </w:t>
            </w:r>
            <w:r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>życia;</w:t>
            </w:r>
          </w:p>
          <w:p w14:paraId="07BB8382" w14:textId="15DCB05C" w:rsidR="00287AA4" w:rsidRPr="00790072" w:rsidRDefault="00287AA4" w:rsidP="00790072">
            <w:pPr>
              <w:widowControl w:val="0"/>
              <w:numPr>
                <w:ilvl w:val="3"/>
                <w:numId w:val="11"/>
              </w:numPr>
              <w:tabs>
                <w:tab w:val="left" w:pos="596"/>
              </w:tabs>
              <w:spacing w:after="60" w:line="276" w:lineRule="auto"/>
              <w:jc w:val="both"/>
              <w:rPr>
                <w:rFonts w:ascii="Times New Roman" w:eastAsia="Calibri" w:hAnsi="Times New Roman"/>
                <w:sz w:val="20"/>
                <w:lang w:val="pl-PL" w:eastAsia="en-US"/>
              </w:rPr>
            </w:pP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nieobecność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istotnych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klinicznie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objawów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neurologicznych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wynikających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z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przerzutów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w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ośrodkowym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układzie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nerwowym,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które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wymagają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potrzeby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zwiększania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dawki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leków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steroidowych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w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ciągu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miesiąca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przed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włączeniem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leczenia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(dopuszczalne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wcześniejsze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radykalne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leczenie,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o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ile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utrzymuje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się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stan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bezobjawowy);</w:t>
            </w:r>
          </w:p>
          <w:p w14:paraId="3FB0C661" w14:textId="54822C93" w:rsidR="00A6006A" w:rsidRPr="00790072" w:rsidRDefault="00A6006A" w:rsidP="00790072">
            <w:pPr>
              <w:pStyle w:val="Akapitzlist"/>
              <w:numPr>
                <w:ilvl w:val="3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/>
                <w:sz w:val="20"/>
                <w:lang w:val="pl-PL" w:eastAsia="en-US"/>
              </w:rPr>
            </w:pP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niestosowanie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systemowych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leków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kortykosteroidowych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(w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dawce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przekraczającej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10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mg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prednizonu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na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dobę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lub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równoważnej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innego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leku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kortykosteroidowego)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lub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leków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immunosupresyjnych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w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ciągu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14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dni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przed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rozpoczęciem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leczenia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(kortykosteroidy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wziewne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są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dozwolone);</w:t>
            </w:r>
          </w:p>
          <w:p w14:paraId="3F5B6438" w14:textId="72F8F7AA" w:rsidR="00287AA4" w:rsidRPr="00790072" w:rsidRDefault="00287AA4" w:rsidP="00790072">
            <w:pPr>
              <w:widowControl w:val="0"/>
              <w:numPr>
                <w:ilvl w:val="3"/>
                <w:numId w:val="11"/>
              </w:numPr>
              <w:tabs>
                <w:tab w:val="left" w:pos="596"/>
              </w:tabs>
              <w:spacing w:after="60" w:line="276" w:lineRule="auto"/>
              <w:jc w:val="both"/>
              <w:rPr>
                <w:rFonts w:ascii="Times New Roman" w:eastAsia="Calibri" w:hAnsi="Times New Roman"/>
                <w:sz w:val="20"/>
                <w:lang w:val="pl-PL" w:eastAsia="en-US"/>
              </w:rPr>
            </w:pP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nieobecność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aktywnych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chorób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autoimmunologicznych,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których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przebieg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może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ulec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pogorszeniu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w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trakcie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leczenia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stymulującego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układ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immunologiczny,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z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wyjątkiem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cukrzycy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typu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1,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bielactwa,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łuszczycy,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niedoczynności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lub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nadczynności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tarczycy,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które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nie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wymagają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leczenia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immunosupresyjnego;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</w:p>
          <w:p w14:paraId="30208A18" w14:textId="67735DBE" w:rsidR="00287AA4" w:rsidRPr="00790072" w:rsidRDefault="00287AA4" w:rsidP="00790072">
            <w:pPr>
              <w:widowControl w:val="0"/>
              <w:numPr>
                <w:ilvl w:val="3"/>
                <w:numId w:val="11"/>
              </w:numPr>
              <w:tabs>
                <w:tab w:val="left" w:pos="596"/>
              </w:tabs>
              <w:spacing w:after="60" w:line="276" w:lineRule="auto"/>
              <w:jc w:val="both"/>
              <w:rPr>
                <w:rFonts w:ascii="Times New Roman" w:eastAsia="Calibri" w:hAnsi="Times New Roman"/>
                <w:sz w:val="20"/>
                <w:lang w:val="pl-PL" w:eastAsia="en-US"/>
              </w:rPr>
            </w:pP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negatywny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wywiad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w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kierunku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HIV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lub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AIDS;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</w:p>
          <w:p w14:paraId="6B5E74B6" w14:textId="3FCA3412" w:rsidR="008250ED" w:rsidRPr="00790072" w:rsidRDefault="008250ED" w:rsidP="00790072">
            <w:pPr>
              <w:numPr>
                <w:ilvl w:val="3"/>
                <w:numId w:val="1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/>
                <w:sz w:val="20"/>
                <w:lang w:val="pl-PL" w:eastAsia="pl-PL"/>
              </w:rPr>
            </w:pPr>
            <w:r w:rsidRPr="00790072">
              <w:rPr>
                <w:rFonts w:ascii="Times New Roman" w:hAnsi="Times New Roman"/>
                <w:sz w:val="20"/>
                <w:lang w:val="pl-PL" w:eastAsia="pl-PL"/>
              </w:rPr>
              <w:t>w</w:t>
            </w:r>
            <w:r w:rsidR="00790072" w:rsidRPr="00790072">
              <w:rPr>
                <w:rFonts w:ascii="Times New Roman" w:hAnsi="Times New Roman"/>
                <w:sz w:val="20"/>
                <w:lang w:val="pl-PL" w:eastAsia="pl-PL"/>
              </w:rPr>
              <w:t xml:space="preserve"> </w:t>
            </w:r>
            <w:r w:rsidRPr="00790072">
              <w:rPr>
                <w:rFonts w:ascii="Times New Roman" w:hAnsi="Times New Roman"/>
                <w:sz w:val="20"/>
                <w:lang w:val="pl-PL" w:eastAsia="pl-PL"/>
              </w:rPr>
              <w:t>przypadku</w:t>
            </w:r>
            <w:r w:rsidR="00790072" w:rsidRPr="00790072">
              <w:rPr>
                <w:rFonts w:ascii="Times New Roman" w:hAnsi="Times New Roman"/>
                <w:sz w:val="20"/>
                <w:lang w:val="pl-PL" w:eastAsia="pl-PL"/>
              </w:rPr>
              <w:t xml:space="preserve"> </w:t>
            </w:r>
            <w:r w:rsidRPr="00790072">
              <w:rPr>
                <w:rFonts w:ascii="Times New Roman" w:hAnsi="Times New Roman"/>
                <w:sz w:val="20"/>
                <w:lang w:val="pl-PL" w:eastAsia="pl-PL"/>
              </w:rPr>
              <w:t>współistnienia</w:t>
            </w:r>
            <w:r w:rsidR="00790072" w:rsidRPr="00790072">
              <w:rPr>
                <w:rFonts w:ascii="Times New Roman" w:hAnsi="Times New Roman"/>
                <w:sz w:val="20"/>
                <w:lang w:val="pl-PL" w:eastAsia="pl-PL"/>
              </w:rPr>
              <w:t xml:space="preserve"> </w:t>
            </w:r>
            <w:r w:rsidRPr="00790072">
              <w:rPr>
                <w:rFonts w:ascii="Times New Roman" w:hAnsi="Times New Roman"/>
                <w:sz w:val="20"/>
                <w:lang w:val="pl-PL" w:eastAsia="pl-PL"/>
              </w:rPr>
              <w:t>u</w:t>
            </w:r>
            <w:r w:rsidR="00790072" w:rsidRPr="00790072">
              <w:rPr>
                <w:rFonts w:ascii="Times New Roman" w:hAnsi="Times New Roman"/>
                <w:sz w:val="20"/>
                <w:lang w:val="pl-PL" w:eastAsia="pl-PL"/>
              </w:rPr>
              <w:t xml:space="preserve"> </w:t>
            </w:r>
            <w:r w:rsidRPr="00790072">
              <w:rPr>
                <w:rFonts w:ascii="Times New Roman" w:hAnsi="Times New Roman"/>
                <w:sz w:val="20"/>
                <w:lang w:val="pl-PL" w:eastAsia="pl-PL"/>
              </w:rPr>
              <w:t>pacjenta</w:t>
            </w:r>
            <w:r w:rsidR="00790072" w:rsidRPr="00790072">
              <w:rPr>
                <w:rFonts w:ascii="Times New Roman" w:hAnsi="Times New Roman"/>
                <w:sz w:val="20"/>
                <w:lang w:val="pl-PL" w:eastAsia="pl-PL"/>
              </w:rPr>
              <w:t xml:space="preserve"> </w:t>
            </w:r>
            <w:r w:rsidRPr="00790072">
              <w:rPr>
                <w:rFonts w:ascii="Times New Roman" w:hAnsi="Times New Roman"/>
                <w:sz w:val="20"/>
                <w:lang w:val="pl-PL" w:eastAsia="pl-PL"/>
              </w:rPr>
              <w:t>innych</w:t>
            </w:r>
            <w:r w:rsidR="00790072" w:rsidRPr="00790072">
              <w:rPr>
                <w:rFonts w:ascii="Times New Roman" w:hAnsi="Times New Roman"/>
                <w:sz w:val="20"/>
                <w:lang w:val="pl-PL" w:eastAsia="pl-PL"/>
              </w:rPr>
              <w:t xml:space="preserve"> </w:t>
            </w:r>
            <w:r w:rsidRPr="00790072">
              <w:rPr>
                <w:rFonts w:ascii="Times New Roman" w:hAnsi="Times New Roman"/>
                <w:sz w:val="20"/>
                <w:lang w:val="pl-PL" w:eastAsia="pl-PL"/>
              </w:rPr>
              <w:t>aktywnych</w:t>
            </w:r>
            <w:r w:rsidR="00790072" w:rsidRPr="00790072">
              <w:rPr>
                <w:rFonts w:ascii="Times New Roman" w:hAnsi="Times New Roman"/>
                <w:sz w:val="20"/>
                <w:lang w:val="pl-PL" w:eastAsia="pl-PL"/>
              </w:rPr>
              <w:t xml:space="preserve"> </w:t>
            </w:r>
            <w:r w:rsidRPr="00790072">
              <w:rPr>
                <w:rFonts w:ascii="Times New Roman" w:hAnsi="Times New Roman"/>
                <w:sz w:val="20"/>
                <w:lang w:val="pl-PL" w:eastAsia="pl-PL"/>
              </w:rPr>
              <w:t>nowotworów</w:t>
            </w:r>
            <w:r w:rsidR="00790072" w:rsidRPr="00790072">
              <w:rPr>
                <w:rFonts w:ascii="Times New Roman" w:hAnsi="Times New Roman"/>
                <w:sz w:val="20"/>
                <w:lang w:val="pl-PL" w:eastAsia="pl-PL"/>
              </w:rPr>
              <w:t xml:space="preserve"> </w:t>
            </w:r>
            <w:r w:rsidRPr="00790072">
              <w:rPr>
                <w:rFonts w:ascii="Times New Roman" w:hAnsi="Times New Roman"/>
                <w:sz w:val="20"/>
                <w:lang w:val="pl-PL" w:eastAsia="pl-PL"/>
              </w:rPr>
              <w:t>złośliwych</w:t>
            </w:r>
            <w:r w:rsidR="00790072" w:rsidRPr="00790072">
              <w:rPr>
                <w:rFonts w:ascii="Times New Roman" w:hAnsi="Times New Roman"/>
                <w:sz w:val="20"/>
                <w:lang w:val="pl-PL" w:eastAsia="pl-PL"/>
              </w:rPr>
              <w:t xml:space="preserve"> </w:t>
            </w:r>
            <w:r w:rsidRPr="00790072">
              <w:rPr>
                <w:rFonts w:ascii="Times New Roman" w:hAnsi="Times New Roman"/>
                <w:sz w:val="20"/>
                <w:lang w:val="pl-PL" w:eastAsia="pl-PL"/>
              </w:rPr>
              <w:t>albo</w:t>
            </w:r>
            <w:r w:rsidR="00790072" w:rsidRPr="00790072">
              <w:rPr>
                <w:rFonts w:ascii="Times New Roman" w:hAnsi="Times New Roman"/>
                <w:sz w:val="20"/>
                <w:lang w:val="pl-PL" w:eastAsia="pl-PL"/>
              </w:rPr>
              <w:t xml:space="preserve"> </w:t>
            </w:r>
            <w:r w:rsidRPr="00790072">
              <w:rPr>
                <w:rFonts w:ascii="Times New Roman" w:hAnsi="Times New Roman"/>
                <w:sz w:val="20"/>
                <w:lang w:val="pl-PL" w:eastAsia="pl-PL"/>
              </w:rPr>
              <w:t>wcześniejszego</w:t>
            </w:r>
            <w:r w:rsidR="00790072" w:rsidRPr="00790072">
              <w:rPr>
                <w:rFonts w:ascii="Times New Roman" w:hAnsi="Times New Roman"/>
                <w:sz w:val="20"/>
                <w:lang w:val="pl-PL" w:eastAsia="pl-PL"/>
              </w:rPr>
              <w:t xml:space="preserve"> </w:t>
            </w:r>
            <w:r w:rsidRPr="00790072">
              <w:rPr>
                <w:rFonts w:ascii="Times New Roman" w:hAnsi="Times New Roman"/>
                <w:sz w:val="20"/>
                <w:lang w:val="pl-PL" w:eastAsia="pl-PL"/>
              </w:rPr>
              <w:t>zachorowania</w:t>
            </w:r>
            <w:r w:rsidR="00790072" w:rsidRPr="00790072">
              <w:rPr>
                <w:rFonts w:ascii="Times New Roman" w:hAnsi="Times New Roman"/>
                <w:sz w:val="20"/>
                <w:lang w:val="pl-PL" w:eastAsia="pl-PL"/>
              </w:rPr>
              <w:t xml:space="preserve"> </w:t>
            </w:r>
            <w:r w:rsidRPr="00790072">
              <w:rPr>
                <w:rFonts w:ascii="Times New Roman" w:hAnsi="Times New Roman"/>
                <w:sz w:val="20"/>
                <w:lang w:val="pl-PL" w:eastAsia="pl-PL"/>
              </w:rPr>
              <w:t>na</w:t>
            </w:r>
            <w:r w:rsidR="00790072" w:rsidRPr="00790072">
              <w:rPr>
                <w:rFonts w:ascii="Times New Roman" w:hAnsi="Times New Roman"/>
                <w:sz w:val="20"/>
                <w:lang w:val="pl-PL" w:eastAsia="pl-PL"/>
              </w:rPr>
              <w:t xml:space="preserve"> </w:t>
            </w:r>
            <w:r w:rsidRPr="00790072">
              <w:rPr>
                <w:rFonts w:ascii="Times New Roman" w:hAnsi="Times New Roman"/>
                <w:sz w:val="20"/>
                <w:lang w:val="pl-PL" w:eastAsia="pl-PL"/>
              </w:rPr>
              <w:t>jakikolwiek</w:t>
            </w:r>
            <w:r w:rsidR="00790072" w:rsidRPr="00790072">
              <w:rPr>
                <w:rFonts w:ascii="Times New Roman" w:hAnsi="Times New Roman"/>
                <w:sz w:val="20"/>
                <w:lang w:val="pl-PL" w:eastAsia="pl-PL"/>
              </w:rPr>
              <w:t xml:space="preserve"> </w:t>
            </w:r>
            <w:r w:rsidRPr="00790072">
              <w:rPr>
                <w:rFonts w:ascii="Times New Roman" w:hAnsi="Times New Roman"/>
                <w:sz w:val="20"/>
                <w:lang w:val="pl-PL" w:eastAsia="pl-PL"/>
              </w:rPr>
              <w:t>nowotwór</w:t>
            </w:r>
            <w:r w:rsidR="00790072" w:rsidRPr="00790072">
              <w:rPr>
                <w:rFonts w:ascii="Times New Roman" w:hAnsi="Times New Roman"/>
                <w:sz w:val="20"/>
                <w:lang w:val="pl-PL" w:eastAsia="pl-PL"/>
              </w:rPr>
              <w:t xml:space="preserve"> </w:t>
            </w:r>
            <w:r w:rsidRPr="00790072">
              <w:rPr>
                <w:rFonts w:ascii="Times New Roman" w:hAnsi="Times New Roman"/>
                <w:sz w:val="20"/>
                <w:lang w:val="pl-PL" w:eastAsia="pl-PL"/>
              </w:rPr>
              <w:t>złośliwy</w:t>
            </w:r>
            <w:r w:rsidR="00790072" w:rsidRPr="00790072">
              <w:rPr>
                <w:rFonts w:ascii="Times New Roman" w:hAnsi="Times New Roman"/>
                <w:sz w:val="20"/>
                <w:lang w:val="pl-PL" w:eastAsia="pl-PL"/>
              </w:rPr>
              <w:t xml:space="preserve"> </w:t>
            </w:r>
            <w:r w:rsidRPr="00790072">
              <w:rPr>
                <w:rFonts w:ascii="Times New Roman" w:hAnsi="Times New Roman"/>
                <w:sz w:val="20"/>
                <w:lang w:val="pl-PL" w:eastAsia="pl-PL"/>
              </w:rPr>
              <w:t>dopuszcza</w:t>
            </w:r>
            <w:r w:rsidR="00790072" w:rsidRPr="00790072">
              <w:rPr>
                <w:rFonts w:ascii="Times New Roman" w:hAnsi="Times New Roman"/>
                <w:sz w:val="20"/>
                <w:lang w:val="pl-PL" w:eastAsia="pl-PL"/>
              </w:rPr>
              <w:t xml:space="preserve"> </w:t>
            </w:r>
            <w:r w:rsidRPr="00790072">
              <w:rPr>
                <w:rFonts w:ascii="Times New Roman" w:hAnsi="Times New Roman"/>
                <w:sz w:val="20"/>
                <w:lang w:val="pl-PL" w:eastAsia="pl-PL"/>
              </w:rPr>
              <w:t>się</w:t>
            </w:r>
            <w:r w:rsidR="00790072" w:rsidRPr="00790072">
              <w:rPr>
                <w:rFonts w:ascii="Times New Roman" w:hAnsi="Times New Roman"/>
                <w:sz w:val="20"/>
                <w:lang w:val="pl-PL" w:eastAsia="pl-PL"/>
              </w:rPr>
              <w:t xml:space="preserve"> </w:t>
            </w:r>
            <w:r w:rsidRPr="00790072">
              <w:rPr>
                <w:rFonts w:ascii="Times New Roman" w:hAnsi="Times New Roman"/>
                <w:sz w:val="20"/>
                <w:lang w:val="pl-PL" w:eastAsia="pl-PL"/>
              </w:rPr>
              <w:t>włączenie</w:t>
            </w:r>
            <w:r w:rsidR="00790072" w:rsidRPr="00790072">
              <w:rPr>
                <w:rFonts w:ascii="Times New Roman" w:hAnsi="Times New Roman"/>
                <w:sz w:val="20"/>
                <w:lang w:val="pl-PL" w:eastAsia="pl-PL"/>
              </w:rPr>
              <w:t xml:space="preserve"> </w:t>
            </w:r>
            <w:r w:rsidRPr="00790072">
              <w:rPr>
                <w:rFonts w:ascii="Times New Roman" w:hAnsi="Times New Roman"/>
                <w:sz w:val="20"/>
                <w:lang w:val="pl-PL" w:eastAsia="pl-PL"/>
              </w:rPr>
              <w:t>do</w:t>
            </w:r>
            <w:r w:rsidR="00790072" w:rsidRPr="00790072">
              <w:rPr>
                <w:rFonts w:ascii="Times New Roman" w:hAnsi="Times New Roman"/>
                <w:sz w:val="20"/>
                <w:lang w:val="pl-PL" w:eastAsia="pl-PL"/>
              </w:rPr>
              <w:t xml:space="preserve"> </w:t>
            </w:r>
            <w:r w:rsidRPr="00790072">
              <w:rPr>
                <w:rFonts w:ascii="Times New Roman" w:hAnsi="Times New Roman"/>
                <w:sz w:val="20"/>
                <w:lang w:val="pl-PL" w:eastAsia="pl-PL"/>
              </w:rPr>
              <w:t>programu</w:t>
            </w:r>
            <w:r w:rsidR="00790072" w:rsidRPr="00790072">
              <w:rPr>
                <w:rFonts w:ascii="Times New Roman" w:hAnsi="Times New Roman"/>
                <w:sz w:val="20"/>
                <w:lang w:val="pl-PL" w:eastAsia="pl-PL"/>
              </w:rPr>
              <w:t xml:space="preserve"> </w:t>
            </w:r>
            <w:r w:rsidRPr="00790072">
              <w:rPr>
                <w:rFonts w:ascii="Times New Roman" w:hAnsi="Times New Roman"/>
                <w:sz w:val="20"/>
                <w:lang w:val="pl-PL" w:eastAsia="pl-PL"/>
              </w:rPr>
              <w:t>po</w:t>
            </w:r>
            <w:r w:rsidR="00790072" w:rsidRPr="00790072">
              <w:rPr>
                <w:rFonts w:ascii="Times New Roman" w:hAnsi="Times New Roman"/>
                <w:sz w:val="20"/>
                <w:lang w:val="pl-PL" w:eastAsia="pl-PL"/>
              </w:rPr>
              <w:t xml:space="preserve"> </w:t>
            </w:r>
            <w:r w:rsidRPr="00790072">
              <w:rPr>
                <w:rFonts w:ascii="Times New Roman" w:hAnsi="Times New Roman"/>
                <w:sz w:val="20"/>
                <w:lang w:val="pl-PL" w:eastAsia="pl-PL"/>
              </w:rPr>
              <w:t>uzyskaniu</w:t>
            </w:r>
            <w:r w:rsidR="00790072" w:rsidRPr="00790072">
              <w:rPr>
                <w:rFonts w:ascii="Times New Roman" w:hAnsi="Times New Roman"/>
                <w:sz w:val="20"/>
                <w:lang w:val="pl-PL" w:eastAsia="pl-PL"/>
              </w:rPr>
              <w:t xml:space="preserve"> </w:t>
            </w:r>
            <w:r w:rsidRPr="00790072">
              <w:rPr>
                <w:rFonts w:ascii="Times New Roman" w:hAnsi="Times New Roman"/>
                <w:sz w:val="20"/>
                <w:lang w:val="pl-PL" w:eastAsia="pl-PL"/>
              </w:rPr>
              <w:t>zgody</w:t>
            </w:r>
            <w:r w:rsidR="00790072" w:rsidRPr="00790072">
              <w:rPr>
                <w:rFonts w:ascii="Times New Roman" w:hAnsi="Times New Roman"/>
                <w:sz w:val="20"/>
                <w:lang w:val="pl-PL" w:eastAsia="pl-PL"/>
              </w:rPr>
              <w:t xml:space="preserve"> </w:t>
            </w:r>
            <w:r w:rsidRPr="00790072">
              <w:rPr>
                <w:rFonts w:ascii="Times New Roman" w:hAnsi="Times New Roman"/>
                <w:sz w:val="20"/>
                <w:lang w:val="pl-PL" w:eastAsia="pl-PL"/>
              </w:rPr>
              <w:t>Konsultanta</w:t>
            </w:r>
            <w:r w:rsidR="00790072" w:rsidRPr="00790072">
              <w:rPr>
                <w:rFonts w:ascii="Times New Roman" w:hAnsi="Times New Roman"/>
                <w:sz w:val="20"/>
                <w:lang w:val="pl-PL" w:eastAsia="pl-PL"/>
              </w:rPr>
              <w:t xml:space="preserve"> </w:t>
            </w:r>
            <w:r w:rsidRPr="00790072">
              <w:rPr>
                <w:rFonts w:ascii="Times New Roman" w:hAnsi="Times New Roman"/>
                <w:sz w:val="20"/>
                <w:lang w:val="pl-PL" w:eastAsia="pl-PL"/>
              </w:rPr>
              <w:t>Krajowego</w:t>
            </w:r>
            <w:r w:rsidR="00790072" w:rsidRPr="00790072">
              <w:rPr>
                <w:rFonts w:ascii="Times New Roman" w:hAnsi="Times New Roman"/>
                <w:sz w:val="20"/>
                <w:lang w:val="pl-PL" w:eastAsia="pl-PL"/>
              </w:rPr>
              <w:t xml:space="preserve"> </w:t>
            </w:r>
            <w:r w:rsidRPr="00790072">
              <w:rPr>
                <w:rFonts w:ascii="Times New Roman" w:hAnsi="Times New Roman"/>
                <w:sz w:val="20"/>
                <w:lang w:val="pl-PL" w:eastAsia="pl-PL"/>
              </w:rPr>
              <w:t>lub</w:t>
            </w:r>
            <w:r w:rsidR="00790072" w:rsidRPr="00790072">
              <w:rPr>
                <w:rFonts w:ascii="Times New Roman" w:hAnsi="Times New Roman"/>
                <w:sz w:val="20"/>
                <w:lang w:val="pl-PL" w:eastAsia="pl-PL"/>
              </w:rPr>
              <w:t xml:space="preserve"> </w:t>
            </w:r>
            <w:r w:rsidRPr="00790072">
              <w:rPr>
                <w:rFonts w:ascii="Times New Roman" w:hAnsi="Times New Roman"/>
                <w:sz w:val="20"/>
                <w:lang w:val="pl-PL" w:eastAsia="pl-PL"/>
              </w:rPr>
              <w:t>Konsultanta</w:t>
            </w:r>
            <w:r w:rsidR="00790072" w:rsidRPr="00790072">
              <w:rPr>
                <w:rFonts w:ascii="Times New Roman" w:hAnsi="Times New Roman"/>
                <w:sz w:val="20"/>
                <w:lang w:val="pl-PL" w:eastAsia="pl-PL"/>
              </w:rPr>
              <w:t xml:space="preserve"> </w:t>
            </w:r>
            <w:r w:rsidRPr="00790072">
              <w:rPr>
                <w:rFonts w:ascii="Times New Roman" w:hAnsi="Times New Roman"/>
                <w:sz w:val="20"/>
                <w:lang w:val="pl-PL" w:eastAsia="pl-PL"/>
              </w:rPr>
              <w:t>Wojewódzkiego,</w:t>
            </w:r>
            <w:r w:rsidR="00790072" w:rsidRPr="00790072">
              <w:rPr>
                <w:rFonts w:ascii="Times New Roman" w:hAnsi="Times New Roman"/>
                <w:sz w:val="20"/>
                <w:lang w:val="pl-PL" w:eastAsia="pl-PL"/>
              </w:rPr>
              <w:t xml:space="preserve"> </w:t>
            </w:r>
            <w:r w:rsidRPr="00790072">
              <w:rPr>
                <w:rFonts w:ascii="Times New Roman" w:hAnsi="Times New Roman"/>
                <w:sz w:val="20"/>
                <w:lang w:val="pl-PL" w:eastAsia="pl-PL"/>
              </w:rPr>
              <w:t>o</w:t>
            </w:r>
            <w:r w:rsidR="00790072" w:rsidRPr="00790072">
              <w:rPr>
                <w:rFonts w:ascii="Times New Roman" w:hAnsi="Times New Roman"/>
                <w:sz w:val="20"/>
                <w:lang w:val="pl-PL" w:eastAsia="pl-PL"/>
              </w:rPr>
              <w:t xml:space="preserve"> </w:t>
            </w:r>
            <w:r w:rsidRPr="00790072">
              <w:rPr>
                <w:rFonts w:ascii="Times New Roman" w:hAnsi="Times New Roman"/>
                <w:sz w:val="20"/>
                <w:lang w:val="pl-PL" w:eastAsia="pl-PL"/>
              </w:rPr>
              <w:t>ile</w:t>
            </w:r>
            <w:r w:rsidR="00790072" w:rsidRPr="00790072">
              <w:rPr>
                <w:rFonts w:ascii="Times New Roman" w:hAnsi="Times New Roman"/>
                <w:sz w:val="20"/>
                <w:lang w:val="pl-PL" w:eastAsia="pl-PL"/>
              </w:rPr>
              <w:t xml:space="preserve"> </w:t>
            </w:r>
            <w:r w:rsidRPr="00790072">
              <w:rPr>
                <w:rFonts w:ascii="Times New Roman" w:hAnsi="Times New Roman"/>
                <w:sz w:val="20"/>
                <w:lang w:val="pl-PL" w:eastAsia="pl-PL"/>
              </w:rPr>
              <w:t>leczenie</w:t>
            </w:r>
            <w:r w:rsidR="00790072" w:rsidRPr="00790072">
              <w:rPr>
                <w:rFonts w:ascii="Times New Roman" w:hAnsi="Times New Roman"/>
                <w:sz w:val="20"/>
                <w:lang w:val="pl-PL" w:eastAsia="pl-PL"/>
              </w:rPr>
              <w:t xml:space="preserve"> </w:t>
            </w:r>
            <w:r w:rsidRPr="00790072">
              <w:rPr>
                <w:rFonts w:ascii="Times New Roman" w:hAnsi="Times New Roman"/>
                <w:sz w:val="20"/>
                <w:lang w:val="pl-PL" w:eastAsia="pl-PL"/>
              </w:rPr>
              <w:t>miało</w:t>
            </w:r>
            <w:r w:rsidR="00790072" w:rsidRPr="00790072">
              <w:rPr>
                <w:rFonts w:ascii="Times New Roman" w:hAnsi="Times New Roman"/>
                <w:sz w:val="20"/>
                <w:lang w:val="pl-PL" w:eastAsia="pl-PL"/>
              </w:rPr>
              <w:t xml:space="preserve"> </w:t>
            </w:r>
            <w:r w:rsidRPr="00790072">
              <w:rPr>
                <w:rFonts w:ascii="Times New Roman" w:hAnsi="Times New Roman"/>
                <w:sz w:val="20"/>
                <w:lang w:val="pl-PL" w:eastAsia="pl-PL"/>
              </w:rPr>
              <w:t>charakter</w:t>
            </w:r>
            <w:r w:rsidR="00790072" w:rsidRPr="00790072">
              <w:rPr>
                <w:rFonts w:ascii="Times New Roman" w:hAnsi="Times New Roman"/>
                <w:sz w:val="20"/>
                <w:lang w:val="pl-PL" w:eastAsia="pl-PL"/>
              </w:rPr>
              <w:t xml:space="preserve"> </w:t>
            </w:r>
            <w:r w:rsidRPr="00790072">
              <w:rPr>
                <w:rFonts w:ascii="Times New Roman" w:hAnsi="Times New Roman"/>
                <w:sz w:val="20"/>
                <w:lang w:val="pl-PL" w:eastAsia="pl-PL"/>
              </w:rPr>
              <w:t>radykalny</w:t>
            </w:r>
            <w:r w:rsidR="00790072" w:rsidRPr="00790072">
              <w:rPr>
                <w:rFonts w:ascii="Times New Roman" w:hAnsi="Times New Roman"/>
                <w:sz w:val="20"/>
                <w:lang w:val="pl-PL" w:eastAsia="pl-PL"/>
              </w:rPr>
              <w:t xml:space="preserve"> </w:t>
            </w:r>
            <w:r w:rsidRPr="00790072">
              <w:rPr>
                <w:rFonts w:ascii="Times New Roman" w:hAnsi="Times New Roman"/>
                <w:sz w:val="20"/>
                <w:lang w:val="pl-PL" w:eastAsia="pl-PL"/>
              </w:rPr>
              <w:t>lub</w:t>
            </w:r>
            <w:r w:rsidR="00790072" w:rsidRPr="00790072">
              <w:rPr>
                <w:rFonts w:ascii="Times New Roman" w:hAnsi="Times New Roman"/>
                <w:sz w:val="20"/>
                <w:lang w:val="pl-PL" w:eastAsia="pl-PL"/>
              </w:rPr>
              <w:t xml:space="preserve"> </w:t>
            </w:r>
            <w:r w:rsidRPr="00790072">
              <w:rPr>
                <w:rFonts w:ascii="Times New Roman" w:hAnsi="Times New Roman"/>
                <w:sz w:val="20"/>
                <w:lang w:val="pl-PL" w:eastAsia="pl-PL"/>
              </w:rPr>
              <w:t>nie</w:t>
            </w:r>
            <w:r w:rsidR="00790072" w:rsidRPr="00790072">
              <w:rPr>
                <w:rFonts w:ascii="Times New Roman" w:hAnsi="Times New Roman"/>
                <w:sz w:val="20"/>
                <w:lang w:val="pl-PL" w:eastAsia="pl-PL"/>
              </w:rPr>
              <w:t xml:space="preserve"> </w:t>
            </w:r>
            <w:r w:rsidRPr="00790072">
              <w:rPr>
                <w:rFonts w:ascii="Times New Roman" w:hAnsi="Times New Roman"/>
                <w:sz w:val="20"/>
                <w:lang w:val="pl-PL" w:eastAsia="pl-PL"/>
              </w:rPr>
              <w:t>miało</w:t>
            </w:r>
            <w:r w:rsidR="00790072" w:rsidRPr="00790072">
              <w:rPr>
                <w:rFonts w:ascii="Times New Roman" w:hAnsi="Times New Roman"/>
                <w:sz w:val="20"/>
                <w:lang w:val="pl-PL" w:eastAsia="pl-PL"/>
              </w:rPr>
              <w:t xml:space="preserve"> </w:t>
            </w:r>
            <w:r w:rsidRPr="00790072">
              <w:rPr>
                <w:rFonts w:ascii="Times New Roman" w:hAnsi="Times New Roman"/>
                <w:sz w:val="20"/>
                <w:lang w:val="pl-PL" w:eastAsia="pl-PL"/>
              </w:rPr>
              <w:t>charakteru</w:t>
            </w:r>
            <w:r w:rsidR="00790072" w:rsidRPr="00790072">
              <w:rPr>
                <w:rFonts w:ascii="Times New Roman" w:hAnsi="Times New Roman"/>
                <w:sz w:val="20"/>
                <w:lang w:val="pl-PL" w:eastAsia="pl-PL"/>
              </w:rPr>
              <w:t xml:space="preserve"> </w:t>
            </w:r>
            <w:r w:rsidRPr="00790072">
              <w:rPr>
                <w:rFonts w:ascii="Times New Roman" w:hAnsi="Times New Roman"/>
                <w:sz w:val="20"/>
                <w:lang w:val="pl-PL" w:eastAsia="pl-PL"/>
              </w:rPr>
              <w:t>radykalnego,</w:t>
            </w:r>
            <w:r w:rsidR="00790072" w:rsidRPr="00790072">
              <w:rPr>
                <w:rFonts w:ascii="Times New Roman" w:hAnsi="Times New Roman"/>
                <w:sz w:val="20"/>
                <w:lang w:val="pl-PL" w:eastAsia="pl-PL"/>
              </w:rPr>
              <w:t xml:space="preserve"> </w:t>
            </w:r>
            <w:r w:rsidRPr="00790072">
              <w:rPr>
                <w:rFonts w:ascii="Times New Roman" w:hAnsi="Times New Roman"/>
                <w:sz w:val="20"/>
                <w:lang w:val="pl-PL" w:eastAsia="pl-PL"/>
              </w:rPr>
              <w:t>ale</w:t>
            </w:r>
            <w:r w:rsidR="00790072" w:rsidRPr="00790072">
              <w:rPr>
                <w:rFonts w:ascii="Times New Roman" w:hAnsi="Times New Roman"/>
                <w:sz w:val="20"/>
                <w:lang w:val="pl-PL" w:eastAsia="pl-PL"/>
              </w:rPr>
              <w:t xml:space="preserve"> </w:t>
            </w:r>
            <w:r w:rsidRPr="00790072">
              <w:rPr>
                <w:rFonts w:ascii="Times New Roman" w:hAnsi="Times New Roman"/>
                <w:sz w:val="20"/>
                <w:lang w:val="pl-PL" w:eastAsia="pl-PL"/>
              </w:rPr>
              <w:t>uzyskano</w:t>
            </w:r>
            <w:r w:rsidR="00790072" w:rsidRPr="00790072">
              <w:rPr>
                <w:rFonts w:ascii="Times New Roman" w:hAnsi="Times New Roman"/>
                <w:sz w:val="20"/>
                <w:lang w:val="pl-PL" w:eastAsia="pl-PL"/>
              </w:rPr>
              <w:t xml:space="preserve"> </w:t>
            </w:r>
            <w:r w:rsidRPr="00790072">
              <w:rPr>
                <w:rFonts w:ascii="Times New Roman" w:hAnsi="Times New Roman"/>
                <w:sz w:val="20"/>
                <w:lang w:val="pl-PL" w:eastAsia="pl-PL"/>
              </w:rPr>
              <w:t>całkowitą</w:t>
            </w:r>
            <w:r w:rsidR="00790072" w:rsidRPr="00790072">
              <w:rPr>
                <w:rFonts w:ascii="Times New Roman" w:hAnsi="Times New Roman"/>
                <w:sz w:val="20"/>
                <w:lang w:val="pl-PL" w:eastAsia="pl-PL"/>
              </w:rPr>
              <w:t xml:space="preserve"> </w:t>
            </w:r>
            <w:r w:rsidRPr="00790072">
              <w:rPr>
                <w:rFonts w:ascii="Times New Roman" w:hAnsi="Times New Roman"/>
                <w:sz w:val="20"/>
                <w:lang w:val="pl-PL" w:eastAsia="pl-PL"/>
              </w:rPr>
              <w:t>remisję;</w:t>
            </w:r>
          </w:p>
          <w:p w14:paraId="058FF8B3" w14:textId="27866EFE" w:rsidR="00287AA4" w:rsidRPr="00790072" w:rsidRDefault="00790072" w:rsidP="00790072">
            <w:pPr>
              <w:numPr>
                <w:ilvl w:val="3"/>
                <w:numId w:val="1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/>
                <w:sz w:val="20"/>
                <w:lang w:val="pl-PL" w:eastAsia="pl-PL"/>
              </w:rPr>
            </w:pP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="00287AA4" w:rsidRPr="00790072">
              <w:rPr>
                <w:rFonts w:ascii="Times New Roman" w:hAnsi="Times New Roman"/>
                <w:sz w:val="20"/>
                <w:lang w:val="pl-PL" w:eastAsia="pl-PL"/>
              </w:rPr>
              <w:t>nieobecność</w:t>
            </w:r>
            <w:r w:rsidRPr="00790072">
              <w:rPr>
                <w:rFonts w:ascii="Times New Roman" w:hAnsi="Times New Roman"/>
                <w:sz w:val="20"/>
                <w:lang w:val="pl-PL" w:eastAsia="pl-PL"/>
              </w:rPr>
              <w:t xml:space="preserve"> </w:t>
            </w:r>
            <w:r w:rsidR="00287AA4" w:rsidRPr="00790072">
              <w:rPr>
                <w:rFonts w:ascii="Times New Roman" w:hAnsi="Times New Roman"/>
                <w:sz w:val="20"/>
                <w:lang w:val="pl-PL" w:eastAsia="pl-PL"/>
              </w:rPr>
              <w:t>ostrych</w:t>
            </w:r>
            <w:r w:rsidRPr="00790072">
              <w:rPr>
                <w:rFonts w:ascii="Times New Roman" w:hAnsi="Times New Roman"/>
                <w:sz w:val="20"/>
                <w:lang w:val="pl-PL" w:eastAsia="pl-PL"/>
              </w:rPr>
              <w:t xml:space="preserve"> </w:t>
            </w:r>
            <w:r w:rsidR="00287AA4" w:rsidRPr="00790072">
              <w:rPr>
                <w:rFonts w:ascii="Times New Roman" w:hAnsi="Times New Roman"/>
                <w:sz w:val="20"/>
                <w:lang w:val="pl-PL" w:eastAsia="pl-PL"/>
              </w:rPr>
              <w:t>stanów</w:t>
            </w:r>
            <w:r w:rsidRPr="00790072">
              <w:rPr>
                <w:rFonts w:ascii="Times New Roman" w:hAnsi="Times New Roman"/>
                <w:sz w:val="20"/>
                <w:lang w:val="pl-PL" w:eastAsia="pl-PL"/>
              </w:rPr>
              <w:t xml:space="preserve"> </w:t>
            </w:r>
            <w:r w:rsidR="00287AA4" w:rsidRPr="00790072">
              <w:rPr>
                <w:rFonts w:ascii="Times New Roman" w:hAnsi="Times New Roman"/>
                <w:sz w:val="20"/>
                <w:lang w:val="pl-PL" w:eastAsia="pl-PL"/>
              </w:rPr>
              <w:t>zapalnych</w:t>
            </w:r>
            <w:r w:rsidRPr="00790072">
              <w:rPr>
                <w:rFonts w:ascii="Times New Roman" w:hAnsi="Times New Roman"/>
                <w:sz w:val="20"/>
                <w:lang w:val="pl-PL" w:eastAsia="pl-PL"/>
              </w:rPr>
              <w:t xml:space="preserve"> </w:t>
            </w:r>
            <w:r w:rsidR="00287AA4" w:rsidRPr="00790072">
              <w:rPr>
                <w:rFonts w:ascii="Times New Roman" w:hAnsi="Times New Roman"/>
                <w:sz w:val="20"/>
                <w:lang w:val="pl-PL" w:eastAsia="pl-PL"/>
              </w:rPr>
              <w:t>wątroby;</w:t>
            </w:r>
          </w:p>
          <w:p w14:paraId="7F449416" w14:textId="229757F8" w:rsidR="00287AA4" w:rsidRPr="00790072" w:rsidRDefault="00287AA4" w:rsidP="00790072">
            <w:pPr>
              <w:numPr>
                <w:ilvl w:val="3"/>
                <w:numId w:val="1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/>
                <w:sz w:val="20"/>
                <w:lang w:val="pl-PL" w:eastAsia="pl-PL"/>
              </w:rPr>
            </w:pPr>
            <w:r w:rsidRPr="00790072">
              <w:rPr>
                <w:rFonts w:ascii="Times New Roman" w:hAnsi="Times New Roman"/>
                <w:sz w:val="20"/>
                <w:lang w:val="pl-PL" w:eastAsia="pl-PL"/>
              </w:rPr>
              <w:t>nieobecność</w:t>
            </w:r>
            <w:r w:rsidR="00790072" w:rsidRPr="00790072">
              <w:rPr>
                <w:rFonts w:ascii="Times New Roman" w:hAnsi="Times New Roman"/>
                <w:sz w:val="20"/>
                <w:lang w:val="pl-PL" w:eastAsia="pl-PL"/>
              </w:rPr>
              <w:t xml:space="preserve"> </w:t>
            </w:r>
            <w:r w:rsidRPr="00790072">
              <w:rPr>
                <w:rFonts w:ascii="Times New Roman" w:hAnsi="Times New Roman"/>
                <w:sz w:val="20"/>
                <w:lang w:val="pl-PL" w:eastAsia="pl-PL"/>
              </w:rPr>
              <w:t>przewlekłych</w:t>
            </w:r>
            <w:r w:rsidR="00790072" w:rsidRPr="00790072">
              <w:rPr>
                <w:rFonts w:ascii="Times New Roman" w:hAnsi="Times New Roman"/>
                <w:sz w:val="20"/>
                <w:lang w:val="pl-PL" w:eastAsia="pl-PL"/>
              </w:rPr>
              <w:t xml:space="preserve"> </w:t>
            </w:r>
            <w:r w:rsidRPr="00790072">
              <w:rPr>
                <w:rFonts w:ascii="Times New Roman" w:hAnsi="Times New Roman"/>
                <w:sz w:val="20"/>
                <w:lang w:val="pl-PL" w:eastAsia="pl-PL"/>
              </w:rPr>
              <w:t>stanów</w:t>
            </w:r>
            <w:r w:rsidR="00790072" w:rsidRPr="00790072">
              <w:rPr>
                <w:rFonts w:ascii="Times New Roman" w:hAnsi="Times New Roman"/>
                <w:sz w:val="20"/>
                <w:lang w:val="pl-PL" w:eastAsia="pl-PL"/>
              </w:rPr>
              <w:t xml:space="preserve"> </w:t>
            </w:r>
            <w:r w:rsidRPr="00790072">
              <w:rPr>
                <w:rFonts w:ascii="Times New Roman" w:hAnsi="Times New Roman"/>
                <w:sz w:val="20"/>
                <w:lang w:val="pl-PL" w:eastAsia="pl-PL"/>
              </w:rPr>
              <w:t>zapalnych</w:t>
            </w:r>
            <w:r w:rsidR="00790072" w:rsidRPr="00790072">
              <w:rPr>
                <w:rFonts w:ascii="Times New Roman" w:hAnsi="Times New Roman"/>
                <w:sz w:val="20"/>
                <w:lang w:val="pl-PL" w:eastAsia="pl-PL"/>
              </w:rPr>
              <w:t xml:space="preserve"> </w:t>
            </w:r>
            <w:r w:rsidRPr="00790072">
              <w:rPr>
                <w:rFonts w:ascii="Times New Roman" w:hAnsi="Times New Roman"/>
                <w:sz w:val="20"/>
                <w:lang w:val="pl-PL" w:eastAsia="pl-PL"/>
              </w:rPr>
              <w:t>wątroby,</w:t>
            </w:r>
            <w:r w:rsidR="00790072" w:rsidRPr="00790072">
              <w:rPr>
                <w:rFonts w:ascii="Times New Roman" w:hAnsi="Times New Roman"/>
                <w:sz w:val="20"/>
                <w:lang w:val="pl-PL" w:eastAsia="pl-PL"/>
              </w:rPr>
              <w:t xml:space="preserve"> </w:t>
            </w:r>
            <w:r w:rsidRPr="00790072">
              <w:rPr>
                <w:rFonts w:ascii="Times New Roman" w:hAnsi="Times New Roman"/>
                <w:sz w:val="20"/>
                <w:lang w:val="pl-PL" w:eastAsia="pl-PL"/>
              </w:rPr>
              <w:t>które</w:t>
            </w:r>
            <w:r w:rsidR="00790072" w:rsidRPr="00790072">
              <w:rPr>
                <w:rFonts w:ascii="Times New Roman" w:hAnsi="Times New Roman"/>
                <w:sz w:val="20"/>
                <w:lang w:val="pl-PL" w:eastAsia="pl-PL"/>
              </w:rPr>
              <w:t xml:space="preserve"> </w:t>
            </w:r>
            <w:r w:rsidRPr="00790072">
              <w:rPr>
                <w:rFonts w:ascii="Times New Roman" w:hAnsi="Times New Roman"/>
                <w:sz w:val="20"/>
                <w:lang w:val="pl-PL" w:eastAsia="pl-PL"/>
              </w:rPr>
              <w:t>w</w:t>
            </w:r>
            <w:r w:rsidR="00790072" w:rsidRPr="00790072">
              <w:rPr>
                <w:rFonts w:ascii="Times New Roman" w:hAnsi="Times New Roman"/>
                <w:sz w:val="20"/>
                <w:lang w:val="pl-PL" w:eastAsia="pl-PL"/>
              </w:rPr>
              <w:t xml:space="preserve"> </w:t>
            </w:r>
            <w:r w:rsidRPr="00790072">
              <w:rPr>
                <w:rFonts w:ascii="Times New Roman" w:hAnsi="Times New Roman"/>
                <w:sz w:val="20"/>
                <w:lang w:val="pl-PL" w:eastAsia="pl-PL"/>
              </w:rPr>
              <w:t>opinii</w:t>
            </w:r>
            <w:r w:rsidR="00790072" w:rsidRPr="00790072">
              <w:rPr>
                <w:rFonts w:ascii="Times New Roman" w:hAnsi="Times New Roman"/>
                <w:sz w:val="20"/>
                <w:lang w:val="pl-PL" w:eastAsia="pl-PL"/>
              </w:rPr>
              <w:t xml:space="preserve"> </w:t>
            </w:r>
            <w:r w:rsidRPr="00790072">
              <w:rPr>
                <w:rFonts w:ascii="Times New Roman" w:hAnsi="Times New Roman"/>
                <w:sz w:val="20"/>
                <w:lang w:val="pl-PL" w:eastAsia="pl-PL"/>
              </w:rPr>
              <w:t>lekarza</w:t>
            </w:r>
            <w:r w:rsidR="00790072" w:rsidRPr="00790072">
              <w:rPr>
                <w:rFonts w:ascii="Times New Roman" w:hAnsi="Times New Roman"/>
                <w:sz w:val="20"/>
                <w:lang w:val="pl-PL" w:eastAsia="pl-PL"/>
              </w:rPr>
              <w:t xml:space="preserve"> </w:t>
            </w:r>
            <w:r w:rsidRPr="00790072">
              <w:rPr>
                <w:rFonts w:ascii="Times New Roman" w:hAnsi="Times New Roman"/>
                <w:sz w:val="20"/>
                <w:lang w:val="pl-PL" w:eastAsia="pl-PL"/>
              </w:rPr>
              <w:t>mogą</w:t>
            </w:r>
            <w:r w:rsidR="00790072" w:rsidRPr="00790072">
              <w:rPr>
                <w:rFonts w:ascii="Times New Roman" w:hAnsi="Times New Roman"/>
                <w:sz w:val="20"/>
                <w:lang w:val="pl-PL" w:eastAsia="pl-PL"/>
              </w:rPr>
              <w:t xml:space="preserve"> </w:t>
            </w:r>
            <w:r w:rsidRPr="00790072">
              <w:rPr>
                <w:rFonts w:ascii="Times New Roman" w:hAnsi="Times New Roman"/>
                <w:sz w:val="20"/>
                <w:lang w:val="pl-PL" w:eastAsia="pl-PL"/>
              </w:rPr>
              <w:t>zagrażać</w:t>
            </w:r>
            <w:r w:rsidR="00790072" w:rsidRPr="00790072">
              <w:rPr>
                <w:rFonts w:ascii="Times New Roman" w:hAnsi="Times New Roman"/>
                <w:sz w:val="20"/>
                <w:lang w:val="pl-PL" w:eastAsia="pl-PL"/>
              </w:rPr>
              <w:t xml:space="preserve"> </w:t>
            </w:r>
            <w:r w:rsidRPr="00790072">
              <w:rPr>
                <w:rFonts w:ascii="Times New Roman" w:hAnsi="Times New Roman"/>
                <w:sz w:val="20"/>
                <w:lang w:val="pl-PL" w:eastAsia="pl-PL"/>
              </w:rPr>
              <w:t>bezpieczeństwu</w:t>
            </w:r>
            <w:r w:rsidR="00790072" w:rsidRPr="00790072">
              <w:rPr>
                <w:rFonts w:ascii="Times New Roman" w:hAnsi="Times New Roman"/>
                <w:sz w:val="20"/>
                <w:lang w:val="pl-PL" w:eastAsia="pl-PL"/>
              </w:rPr>
              <w:t xml:space="preserve"> </w:t>
            </w:r>
            <w:r w:rsidRPr="00790072">
              <w:rPr>
                <w:rFonts w:ascii="Times New Roman" w:hAnsi="Times New Roman"/>
                <w:sz w:val="20"/>
                <w:lang w:val="pl-PL" w:eastAsia="pl-PL"/>
              </w:rPr>
              <w:t>terapii</w:t>
            </w:r>
            <w:r w:rsidR="00790072" w:rsidRPr="00790072">
              <w:rPr>
                <w:rFonts w:ascii="Times New Roman" w:hAnsi="Times New Roman"/>
                <w:sz w:val="20"/>
                <w:lang w:val="pl-PL" w:eastAsia="pl-PL"/>
              </w:rPr>
              <w:t xml:space="preserve"> </w:t>
            </w:r>
            <w:r w:rsidRPr="00790072">
              <w:rPr>
                <w:rFonts w:ascii="Times New Roman" w:hAnsi="Times New Roman"/>
                <w:sz w:val="20"/>
                <w:lang w:val="pl-PL" w:eastAsia="pl-PL"/>
              </w:rPr>
              <w:t>awelumabem;</w:t>
            </w:r>
          </w:p>
          <w:p w14:paraId="04F1FE84" w14:textId="5D9FB8FA" w:rsidR="008250ED" w:rsidRPr="00790072" w:rsidRDefault="008250ED" w:rsidP="00790072">
            <w:pPr>
              <w:widowControl w:val="0"/>
              <w:numPr>
                <w:ilvl w:val="3"/>
                <w:numId w:val="11"/>
              </w:numPr>
              <w:tabs>
                <w:tab w:val="left" w:pos="596"/>
              </w:tabs>
              <w:spacing w:after="60" w:line="276" w:lineRule="auto"/>
              <w:jc w:val="both"/>
              <w:rPr>
                <w:rFonts w:ascii="Times New Roman" w:eastAsia="Calibri" w:hAnsi="Times New Roman"/>
                <w:sz w:val="20"/>
                <w:lang w:val="pl-PL" w:eastAsia="en-US"/>
              </w:rPr>
            </w:pP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nieobecność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istotnych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schorzeń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współistniejących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stanowiących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przeciwskazanie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do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terapii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stwierdzonych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przez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lekarza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prowadzącego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w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oparciu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o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="0089042B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aktualną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="0089042B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na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="0089042B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dzień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="0089042B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wydania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="0089042B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decyzji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Charakterystyk</w:t>
            </w:r>
            <w:r w:rsidR="0089042B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ę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Produktu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Leczniczego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oraz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wytyczne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Polskiego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Towarzystwa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Onkologii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Klinicznej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w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leczeniu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raka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urotelialnego;</w:t>
            </w:r>
          </w:p>
          <w:p w14:paraId="543F6FCE" w14:textId="44E55D2B" w:rsidR="00287AA4" w:rsidRPr="00790072" w:rsidRDefault="00287AA4" w:rsidP="00790072">
            <w:pPr>
              <w:widowControl w:val="0"/>
              <w:numPr>
                <w:ilvl w:val="3"/>
                <w:numId w:val="11"/>
              </w:numPr>
              <w:tabs>
                <w:tab w:val="left" w:pos="596"/>
              </w:tabs>
              <w:spacing w:after="60" w:line="276" w:lineRule="auto"/>
              <w:jc w:val="both"/>
              <w:rPr>
                <w:rFonts w:ascii="Times New Roman" w:eastAsia="Calibri" w:hAnsi="Times New Roman"/>
                <w:sz w:val="20"/>
                <w:lang w:val="pl-PL" w:eastAsia="en-US"/>
              </w:rPr>
            </w:pP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adekwatna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wydolność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narządowa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określona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na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podstawie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badań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laboratoryjnych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krwi</w:t>
            </w:r>
            <w:r w:rsidR="00790072" w:rsidRPr="00790072">
              <w:rPr>
                <w:rFonts w:ascii="Times New Roman" w:hAnsi="Times New Roman"/>
                <w:sz w:val="20"/>
                <w:lang w:val="pl-PL" w:eastAsia="pl-PL"/>
              </w:rPr>
              <w:t xml:space="preserve"> </w:t>
            </w:r>
            <w:r w:rsidRPr="00790072">
              <w:rPr>
                <w:rFonts w:ascii="Times New Roman" w:hAnsi="Times New Roman"/>
                <w:sz w:val="20"/>
                <w:lang w:val="pl-PL" w:eastAsia="pl-PL"/>
              </w:rPr>
              <w:t>pozwalająca</w:t>
            </w:r>
            <w:r w:rsidR="00790072" w:rsidRPr="00790072">
              <w:rPr>
                <w:rFonts w:ascii="Times New Roman" w:hAnsi="Times New Roman"/>
                <w:sz w:val="20"/>
                <w:lang w:val="pl-PL" w:eastAsia="pl-PL"/>
              </w:rPr>
              <w:t xml:space="preserve"> </w:t>
            </w:r>
            <w:r w:rsidRPr="00790072">
              <w:rPr>
                <w:rFonts w:ascii="Times New Roman" w:hAnsi="Times New Roman"/>
                <w:sz w:val="20"/>
                <w:lang w:val="pl-PL" w:eastAsia="pl-PL"/>
              </w:rPr>
              <w:t>na</w:t>
            </w:r>
            <w:r w:rsidR="00790072" w:rsidRPr="00790072">
              <w:rPr>
                <w:rFonts w:ascii="Times New Roman" w:hAnsi="Times New Roman"/>
                <w:sz w:val="20"/>
                <w:lang w:val="pl-PL" w:eastAsia="pl-PL"/>
              </w:rPr>
              <w:t xml:space="preserve"> </w:t>
            </w:r>
            <w:r w:rsidRPr="00790072">
              <w:rPr>
                <w:rFonts w:ascii="Times New Roman" w:hAnsi="Times New Roman"/>
                <w:sz w:val="20"/>
                <w:lang w:val="pl-PL" w:eastAsia="pl-PL"/>
              </w:rPr>
              <w:t>zastosowanie</w:t>
            </w:r>
            <w:r w:rsidR="00790072" w:rsidRPr="00790072">
              <w:rPr>
                <w:rFonts w:ascii="Times New Roman" w:hAnsi="Times New Roman"/>
                <w:sz w:val="20"/>
                <w:lang w:val="pl-PL" w:eastAsia="pl-PL"/>
              </w:rPr>
              <w:t xml:space="preserve"> </w:t>
            </w:r>
            <w:r w:rsidRPr="00790072">
              <w:rPr>
                <w:rFonts w:ascii="Times New Roman" w:hAnsi="Times New Roman"/>
                <w:sz w:val="20"/>
                <w:lang w:val="pl-PL" w:eastAsia="pl-PL"/>
              </w:rPr>
              <w:t>leku</w:t>
            </w:r>
            <w:r w:rsidR="00790072" w:rsidRPr="00790072">
              <w:rPr>
                <w:rFonts w:ascii="Times New Roman" w:hAnsi="Times New Roman"/>
                <w:sz w:val="20"/>
                <w:lang w:val="pl-PL" w:eastAsia="pl-PL"/>
              </w:rPr>
              <w:t xml:space="preserve"> </w:t>
            </w:r>
            <w:r w:rsidRPr="00790072">
              <w:rPr>
                <w:rFonts w:ascii="Times New Roman" w:hAnsi="Times New Roman"/>
                <w:sz w:val="20"/>
                <w:lang w:val="pl-PL" w:eastAsia="pl-PL"/>
              </w:rPr>
              <w:t>zgodnie</w:t>
            </w:r>
            <w:r w:rsidR="00790072" w:rsidRPr="00790072">
              <w:rPr>
                <w:rFonts w:ascii="Times New Roman" w:hAnsi="Times New Roman"/>
                <w:sz w:val="20"/>
                <w:lang w:val="pl-PL" w:eastAsia="pl-PL"/>
              </w:rPr>
              <w:t xml:space="preserve"> </w:t>
            </w:r>
            <w:r w:rsidRPr="00790072">
              <w:rPr>
                <w:rFonts w:ascii="Times New Roman" w:hAnsi="Times New Roman"/>
                <w:sz w:val="20"/>
                <w:lang w:val="pl-PL" w:eastAsia="pl-PL"/>
              </w:rPr>
              <w:t>z</w:t>
            </w:r>
            <w:r w:rsidR="00790072" w:rsidRPr="00790072">
              <w:rPr>
                <w:rFonts w:ascii="Times New Roman" w:hAnsi="Times New Roman"/>
                <w:sz w:val="20"/>
                <w:lang w:val="pl-PL" w:eastAsia="pl-PL"/>
              </w:rPr>
              <w:t xml:space="preserve"> </w:t>
            </w:r>
            <w:r w:rsidR="00643446" w:rsidRPr="00790072">
              <w:rPr>
                <w:rFonts w:ascii="Times New Roman" w:hAnsi="Times New Roman"/>
                <w:sz w:val="20"/>
                <w:lang w:val="pl-PL" w:eastAsia="pl-PL"/>
              </w:rPr>
              <w:t>aktualną</w:t>
            </w:r>
            <w:r w:rsidR="00790072" w:rsidRPr="00790072">
              <w:rPr>
                <w:rFonts w:ascii="Times New Roman" w:hAnsi="Times New Roman"/>
                <w:sz w:val="20"/>
                <w:lang w:val="pl-PL" w:eastAsia="pl-PL"/>
              </w:rPr>
              <w:t xml:space="preserve"> </w:t>
            </w:r>
            <w:r w:rsidR="00643446" w:rsidRPr="00790072">
              <w:rPr>
                <w:rFonts w:ascii="Times New Roman" w:hAnsi="Times New Roman"/>
                <w:sz w:val="20"/>
                <w:lang w:val="pl-PL" w:eastAsia="pl-PL"/>
              </w:rPr>
              <w:t>na</w:t>
            </w:r>
            <w:r w:rsidR="00790072" w:rsidRPr="00790072">
              <w:rPr>
                <w:rFonts w:ascii="Times New Roman" w:hAnsi="Times New Roman"/>
                <w:sz w:val="20"/>
                <w:lang w:val="pl-PL" w:eastAsia="pl-PL"/>
              </w:rPr>
              <w:t xml:space="preserve"> </w:t>
            </w:r>
            <w:r w:rsidR="00643446" w:rsidRPr="00790072">
              <w:rPr>
                <w:rFonts w:ascii="Times New Roman" w:hAnsi="Times New Roman"/>
                <w:sz w:val="20"/>
                <w:lang w:val="pl-PL" w:eastAsia="pl-PL"/>
              </w:rPr>
              <w:t>dzień</w:t>
            </w:r>
            <w:r w:rsidR="00790072" w:rsidRPr="00790072">
              <w:rPr>
                <w:rFonts w:ascii="Times New Roman" w:hAnsi="Times New Roman"/>
                <w:sz w:val="20"/>
                <w:lang w:val="pl-PL" w:eastAsia="pl-PL"/>
              </w:rPr>
              <w:t xml:space="preserve"> </w:t>
            </w:r>
            <w:r w:rsidR="00643446" w:rsidRPr="00790072">
              <w:rPr>
                <w:rFonts w:ascii="Times New Roman" w:hAnsi="Times New Roman"/>
                <w:sz w:val="20"/>
                <w:lang w:val="pl-PL" w:eastAsia="pl-PL"/>
              </w:rPr>
              <w:t>wydania</w:t>
            </w:r>
            <w:r w:rsidR="00790072" w:rsidRPr="00790072">
              <w:rPr>
                <w:rFonts w:ascii="Times New Roman" w:hAnsi="Times New Roman"/>
                <w:sz w:val="20"/>
                <w:lang w:val="pl-PL" w:eastAsia="pl-PL"/>
              </w:rPr>
              <w:t xml:space="preserve"> </w:t>
            </w:r>
            <w:r w:rsidR="00643446" w:rsidRPr="00790072">
              <w:rPr>
                <w:rFonts w:ascii="Times New Roman" w:hAnsi="Times New Roman"/>
                <w:sz w:val="20"/>
                <w:lang w:val="pl-PL" w:eastAsia="pl-PL"/>
              </w:rPr>
              <w:t>decyzji</w:t>
            </w:r>
            <w:r w:rsidR="00790072" w:rsidRPr="00790072">
              <w:rPr>
                <w:rFonts w:ascii="Times New Roman" w:hAnsi="Times New Roman"/>
                <w:sz w:val="20"/>
                <w:lang w:val="pl-PL" w:eastAsia="pl-PL"/>
              </w:rPr>
              <w:t xml:space="preserve"> </w:t>
            </w:r>
            <w:r w:rsidRPr="00790072">
              <w:rPr>
                <w:rFonts w:ascii="Times New Roman" w:hAnsi="Times New Roman"/>
                <w:sz w:val="20"/>
                <w:lang w:val="pl-PL" w:eastAsia="pl-PL"/>
              </w:rPr>
              <w:t>Charakterystyką</w:t>
            </w:r>
            <w:r w:rsidR="00790072" w:rsidRPr="00790072">
              <w:rPr>
                <w:rFonts w:ascii="Times New Roman" w:hAnsi="Times New Roman"/>
                <w:sz w:val="20"/>
                <w:lang w:val="pl-PL" w:eastAsia="pl-PL"/>
              </w:rPr>
              <w:t xml:space="preserve"> </w:t>
            </w:r>
            <w:r w:rsidRPr="00790072">
              <w:rPr>
                <w:rFonts w:ascii="Times New Roman" w:hAnsi="Times New Roman"/>
                <w:sz w:val="20"/>
                <w:lang w:val="pl-PL" w:eastAsia="pl-PL"/>
              </w:rPr>
              <w:t>Produktu</w:t>
            </w:r>
            <w:r w:rsidR="00790072" w:rsidRPr="00790072">
              <w:rPr>
                <w:rFonts w:ascii="Times New Roman" w:hAnsi="Times New Roman"/>
                <w:sz w:val="20"/>
                <w:lang w:val="pl-PL" w:eastAsia="pl-PL"/>
              </w:rPr>
              <w:t xml:space="preserve"> </w:t>
            </w:r>
            <w:r w:rsidRPr="00790072">
              <w:rPr>
                <w:rFonts w:ascii="Times New Roman" w:hAnsi="Times New Roman"/>
                <w:sz w:val="20"/>
                <w:lang w:val="pl-PL" w:eastAsia="pl-PL"/>
              </w:rPr>
              <w:t>Leczniczego;</w:t>
            </w:r>
          </w:p>
          <w:p w14:paraId="20B1169E" w14:textId="6287AB6B" w:rsidR="00287AA4" w:rsidRPr="00790072" w:rsidRDefault="00287AA4" w:rsidP="00790072">
            <w:pPr>
              <w:widowControl w:val="0"/>
              <w:numPr>
                <w:ilvl w:val="3"/>
                <w:numId w:val="11"/>
              </w:numPr>
              <w:tabs>
                <w:tab w:val="left" w:pos="596"/>
              </w:tabs>
              <w:spacing w:after="60" w:line="276" w:lineRule="auto"/>
              <w:jc w:val="both"/>
              <w:rPr>
                <w:rFonts w:ascii="Times New Roman" w:eastAsia="Calibri" w:hAnsi="Times New Roman"/>
                <w:sz w:val="20"/>
                <w:lang w:val="pl-PL" w:eastAsia="en-US"/>
              </w:rPr>
            </w:pP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wykluczenie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ciąży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lub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karmienia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piersią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u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pacjentek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w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wieku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rozrodczym;</w:t>
            </w:r>
          </w:p>
          <w:p w14:paraId="44BD6AA3" w14:textId="00FB0FF1" w:rsidR="00287AA4" w:rsidRPr="00790072" w:rsidRDefault="00287AA4" w:rsidP="00790072">
            <w:pPr>
              <w:widowControl w:val="0"/>
              <w:numPr>
                <w:ilvl w:val="3"/>
                <w:numId w:val="11"/>
              </w:numPr>
              <w:tabs>
                <w:tab w:val="left" w:pos="596"/>
              </w:tabs>
              <w:spacing w:after="60" w:line="276" w:lineRule="auto"/>
              <w:jc w:val="both"/>
              <w:rPr>
                <w:rFonts w:ascii="Times New Roman" w:eastAsia="Calibri" w:hAnsi="Times New Roman"/>
                <w:sz w:val="20"/>
                <w:lang w:val="pl-PL" w:eastAsia="en-US"/>
              </w:rPr>
            </w:pP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brak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przeciwwskazań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do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stosowania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awelumabu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określonych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w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aktualnej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="00A6006A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na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="00A6006A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dzień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="00A6006A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wydania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="00A6006A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dec</w:t>
            </w:r>
            <w:r w:rsidR="00643446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y</w:t>
            </w:r>
            <w:r w:rsidR="00A6006A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zji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Charakterystyce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Produktu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Leczniczego.</w:t>
            </w:r>
          </w:p>
          <w:p w14:paraId="31B0D4BE" w14:textId="6DC8FDAD" w:rsidR="00643446" w:rsidRPr="00790072" w:rsidRDefault="00643446" w:rsidP="00790072">
            <w:pPr>
              <w:widowControl w:val="0"/>
              <w:numPr>
                <w:ilvl w:val="3"/>
                <w:numId w:val="11"/>
              </w:numPr>
              <w:tabs>
                <w:tab w:val="left" w:pos="596"/>
              </w:tabs>
              <w:spacing w:after="60" w:line="276" w:lineRule="auto"/>
              <w:jc w:val="both"/>
              <w:rPr>
                <w:rFonts w:ascii="Times New Roman" w:eastAsia="Calibri" w:hAnsi="Times New Roman"/>
                <w:b/>
                <w:bCs/>
                <w:sz w:val="20"/>
                <w:lang w:val="pl-PL" w:eastAsia="en-US"/>
              </w:rPr>
            </w:pP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brak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nadwrażliwości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na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przeciwciała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monoklonalne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w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wywiadzie.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</w:p>
          <w:p w14:paraId="586C45CF" w14:textId="473ECAE6" w:rsidR="00287AA4" w:rsidRPr="00790072" w:rsidRDefault="00287AA4" w:rsidP="00790072">
            <w:pPr>
              <w:widowControl w:val="0"/>
              <w:tabs>
                <w:tab w:val="left" w:pos="808"/>
              </w:tabs>
              <w:spacing w:after="60" w:line="276" w:lineRule="auto"/>
              <w:jc w:val="both"/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</w:pPr>
            <w:r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>Kryteria</w:t>
            </w:r>
            <w:r w:rsidR="00790072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 xml:space="preserve"> </w:t>
            </w:r>
            <w:r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>kwalifikacji</w:t>
            </w:r>
            <w:r w:rsidR="00790072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 xml:space="preserve"> </w:t>
            </w:r>
            <w:r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>muszą</w:t>
            </w:r>
            <w:r w:rsidR="00790072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 xml:space="preserve"> </w:t>
            </w:r>
            <w:r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>być</w:t>
            </w:r>
            <w:r w:rsidR="00790072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 xml:space="preserve"> </w:t>
            </w:r>
            <w:r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>spełnione</w:t>
            </w:r>
            <w:r w:rsidR="00790072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 xml:space="preserve"> </w:t>
            </w:r>
            <w:r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>łącznie.</w:t>
            </w:r>
          </w:p>
          <w:p w14:paraId="4CBEF881" w14:textId="77777777" w:rsidR="00287AA4" w:rsidRPr="00790072" w:rsidRDefault="00287AA4" w:rsidP="00790072">
            <w:pPr>
              <w:widowControl w:val="0"/>
              <w:tabs>
                <w:tab w:val="left" w:pos="808"/>
              </w:tabs>
              <w:spacing w:after="60" w:line="276" w:lineRule="auto"/>
              <w:jc w:val="both"/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</w:pPr>
          </w:p>
          <w:p w14:paraId="555052B1" w14:textId="02862480" w:rsidR="00287AA4" w:rsidRPr="00790072" w:rsidRDefault="00287AA4" w:rsidP="00790072">
            <w:pPr>
              <w:widowControl w:val="0"/>
              <w:tabs>
                <w:tab w:val="left" w:pos="808"/>
              </w:tabs>
              <w:spacing w:after="60" w:line="276" w:lineRule="auto"/>
              <w:jc w:val="both"/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</w:pPr>
            <w:r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>Ponadto</w:t>
            </w:r>
            <w:r w:rsidR="00790072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 xml:space="preserve"> </w:t>
            </w:r>
            <w:r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>do</w:t>
            </w:r>
            <w:r w:rsidR="00790072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 xml:space="preserve"> </w:t>
            </w:r>
            <w:r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>programu</w:t>
            </w:r>
            <w:r w:rsidR="00790072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 xml:space="preserve"> </w:t>
            </w:r>
            <w:r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>lekowego,</w:t>
            </w:r>
            <w:r w:rsidR="00790072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 xml:space="preserve"> </w:t>
            </w:r>
            <w:r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>w</w:t>
            </w:r>
            <w:r w:rsidR="00790072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 xml:space="preserve"> </w:t>
            </w:r>
            <w:r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>celu</w:t>
            </w:r>
            <w:r w:rsidR="00790072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 xml:space="preserve"> </w:t>
            </w:r>
            <w:r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>zapewnienia</w:t>
            </w:r>
            <w:r w:rsidR="00790072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 xml:space="preserve"> </w:t>
            </w:r>
            <w:r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>kontynuacji</w:t>
            </w:r>
            <w:r w:rsidR="00790072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 xml:space="preserve"> </w:t>
            </w:r>
            <w:r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>terapii,</w:t>
            </w:r>
            <w:r w:rsidR="00790072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 xml:space="preserve"> </w:t>
            </w:r>
            <w:r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>kwalifikowani</w:t>
            </w:r>
            <w:r w:rsidR="00790072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 xml:space="preserve"> </w:t>
            </w:r>
            <w:r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>są</w:t>
            </w:r>
            <w:r w:rsidR="00790072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 xml:space="preserve"> </w:t>
            </w:r>
            <w:r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>pacjenci</w:t>
            </w:r>
            <w:r w:rsidR="00790072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 xml:space="preserve"> </w:t>
            </w:r>
            <w:r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>z</w:t>
            </w:r>
            <w:r w:rsidR="00790072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 xml:space="preserve"> </w:t>
            </w:r>
            <w:r w:rsidR="007F212B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>rakiem</w:t>
            </w:r>
            <w:r w:rsidR="00790072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 xml:space="preserve"> </w:t>
            </w:r>
            <w:r w:rsidR="007F212B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>urotelialnym</w:t>
            </w:r>
            <w:r w:rsidR="00790072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 xml:space="preserve"> </w:t>
            </w:r>
            <w:r w:rsidR="007F212B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>w</w:t>
            </w:r>
            <w:r w:rsidR="00790072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 xml:space="preserve"> </w:t>
            </w:r>
            <w:r w:rsidR="007F212B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>stadium</w:t>
            </w:r>
            <w:r w:rsidR="00790072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 xml:space="preserve"> </w:t>
            </w:r>
            <w:r w:rsidR="007F212B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>miejscowego</w:t>
            </w:r>
            <w:r w:rsidR="00790072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 xml:space="preserve"> </w:t>
            </w:r>
            <w:r w:rsidR="007F212B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>zaawansowania</w:t>
            </w:r>
            <w:r w:rsidR="00790072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 xml:space="preserve"> </w:t>
            </w:r>
            <w:r w:rsidR="007F212B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>poza</w:t>
            </w:r>
            <w:r w:rsidR="00790072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 xml:space="preserve"> </w:t>
            </w:r>
            <w:r w:rsidR="007F212B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>możliwościami</w:t>
            </w:r>
            <w:r w:rsidR="00790072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 xml:space="preserve"> </w:t>
            </w:r>
            <w:r w:rsidR="007F212B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>miejscowego</w:t>
            </w:r>
            <w:r w:rsidR="00790072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 xml:space="preserve"> </w:t>
            </w:r>
            <w:r w:rsidR="007F212B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>leczenia</w:t>
            </w:r>
            <w:r w:rsidR="00790072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 xml:space="preserve"> </w:t>
            </w:r>
            <w:r w:rsidR="007F212B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>o</w:t>
            </w:r>
            <w:r w:rsidR="00790072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 xml:space="preserve"> </w:t>
            </w:r>
            <w:r w:rsidR="007F212B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>charakterze</w:t>
            </w:r>
            <w:r w:rsidR="00790072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 xml:space="preserve"> </w:t>
            </w:r>
            <w:r w:rsidR="007F212B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>radykalnym</w:t>
            </w:r>
            <w:r w:rsidR="00790072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 xml:space="preserve"> </w:t>
            </w:r>
            <w:r w:rsidR="007F212B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>lub</w:t>
            </w:r>
            <w:r w:rsidR="00790072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 xml:space="preserve"> </w:t>
            </w:r>
            <w:r w:rsidR="007F212B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>w</w:t>
            </w:r>
            <w:r w:rsidR="00790072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 xml:space="preserve"> </w:t>
            </w:r>
            <w:r w:rsidR="007F212B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>stadium</w:t>
            </w:r>
            <w:r w:rsidR="00790072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 xml:space="preserve"> </w:t>
            </w:r>
            <w:r w:rsidR="007F212B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>uogólnienia</w:t>
            </w:r>
            <w:r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>,</w:t>
            </w:r>
            <w:r w:rsidR="00790072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 xml:space="preserve"> </w:t>
            </w:r>
            <w:r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>otrzymujący</w:t>
            </w:r>
            <w:r w:rsidR="00790072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 xml:space="preserve"> </w:t>
            </w:r>
            <w:r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>leczenie</w:t>
            </w:r>
            <w:r w:rsidR="00790072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 xml:space="preserve"> </w:t>
            </w:r>
            <w:r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>podtrzymujące</w:t>
            </w:r>
            <w:r w:rsidR="00790072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 xml:space="preserve"> </w:t>
            </w:r>
            <w:r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>awelumabem</w:t>
            </w:r>
            <w:r w:rsidR="00790072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 xml:space="preserve"> </w:t>
            </w:r>
            <w:r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>w</w:t>
            </w:r>
            <w:r w:rsidR="00790072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 xml:space="preserve"> </w:t>
            </w:r>
            <w:r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>ramach</w:t>
            </w:r>
            <w:r w:rsidR="00790072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 xml:space="preserve"> </w:t>
            </w:r>
            <w:r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>innego</w:t>
            </w:r>
            <w:r w:rsidR="00790072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 xml:space="preserve"> </w:t>
            </w:r>
            <w:r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>sposobu</w:t>
            </w:r>
            <w:r w:rsidR="00790072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 xml:space="preserve"> </w:t>
            </w:r>
            <w:r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>finansowania</w:t>
            </w:r>
            <w:r w:rsidR="00790072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 xml:space="preserve"> </w:t>
            </w:r>
            <w:r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>terapii,</w:t>
            </w:r>
            <w:r w:rsidR="00790072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 xml:space="preserve"> </w:t>
            </w:r>
            <w:r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>pod</w:t>
            </w:r>
            <w:r w:rsidR="00790072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 xml:space="preserve"> </w:t>
            </w:r>
            <w:r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>warunkiem,</w:t>
            </w:r>
            <w:r w:rsidR="00790072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 xml:space="preserve"> </w:t>
            </w:r>
            <w:r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>że</w:t>
            </w:r>
            <w:r w:rsidR="00790072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 xml:space="preserve"> </w:t>
            </w:r>
            <w:r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>przed</w:t>
            </w:r>
            <w:r w:rsidR="00790072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 xml:space="preserve"> </w:t>
            </w:r>
            <w:r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>rozpoczęciem</w:t>
            </w:r>
            <w:r w:rsidR="00790072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 xml:space="preserve"> </w:t>
            </w:r>
            <w:r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>terapii</w:t>
            </w:r>
            <w:r w:rsidR="00790072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 xml:space="preserve"> </w:t>
            </w:r>
            <w:r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>spełniali</w:t>
            </w:r>
            <w:r w:rsidR="00790072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 xml:space="preserve"> </w:t>
            </w:r>
            <w:r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>kryteria</w:t>
            </w:r>
            <w:r w:rsidR="00790072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 xml:space="preserve"> </w:t>
            </w:r>
            <w:r w:rsidR="0089042B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>kwalifikacji</w:t>
            </w:r>
            <w:r w:rsidR="00790072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 xml:space="preserve"> </w:t>
            </w:r>
            <w:r w:rsidR="0089042B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>do</w:t>
            </w:r>
            <w:r w:rsidR="00790072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 xml:space="preserve"> </w:t>
            </w:r>
            <w:r w:rsidR="0089042B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>programu</w:t>
            </w:r>
            <w:r w:rsidR="00790072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 xml:space="preserve"> </w:t>
            </w:r>
            <w:r w:rsidR="0089042B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>lekowego.</w:t>
            </w:r>
            <w:r w:rsidR="00790072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 xml:space="preserve"> </w:t>
            </w:r>
          </w:p>
          <w:p w14:paraId="05812460" w14:textId="77777777" w:rsidR="00287AA4" w:rsidRPr="00790072" w:rsidRDefault="00287AA4" w:rsidP="00790072">
            <w:pPr>
              <w:widowControl w:val="0"/>
              <w:tabs>
                <w:tab w:val="left" w:pos="808"/>
              </w:tabs>
              <w:spacing w:after="60" w:line="276" w:lineRule="auto"/>
              <w:jc w:val="both"/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</w:pPr>
          </w:p>
          <w:p w14:paraId="465D22B5" w14:textId="34F1EC94" w:rsidR="00287AA4" w:rsidRPr="00790072" w:rsidRDefault="00287AA4" w:rsidP="00790072">
            <w:pPr>
              <w:widowControl w:val="0"/>
              <w:numPr>
                <w:ilvl w:val="1"/>
                <w:numId w:val="11"/>
              </w:numPr>
              <w:tabs>
                <w:tab w:val="left" w:pos="808"/>
              </w:tabs>
              <w:spacing w:after="60" w:line="276" w:lineRule="auto"/>
              <w:jc w:val="both"/>
              <w:rPr>
                <w:rFonts w:ascii="Times New Roman" w:eastAsia="Calibri" w:hAnsi="Times New Roman"/>
                <w:b/>
                <w:color w:val="000000"/>
                <w:sz w:val="20"/>
                <w:lang w:val="pl-PL" w:eastAsia="en-US" w:bidi="pl-PL"/>
              </w:rPr>
            </w:pPr>
            <w:r w:rsidRPr="00790072">
              <w:rPr>
                <w:rFonts w:ascii="Times New Roman" w:eastAsia="Calibri" w:hAnsi="Times New Roman"/>
                <w:b/>
                <w:color w:val="000000"/>
                <w:sz w:val="20"/>
                <w:lang w:val="pl-PL" w:eastAsia="en-US" w:bidi="pl-PL"/>
              </w:rPr>
              <w:t>Określenie</w:t>
            </w:r>
            <w:r w:rsidR="00790072" w:rsidRPr="00790072">
              <w:rPr>
                <w:rFonts w:ascii="Times New Roman" w:eastAsia="Calibri" w:hAnsi="Times New Roman"/>
                <w:b/>
                <w:color w:val="000000"/>
                <w:sz w:val="20"/>
                <w:lang w:val="pl-PL" w:eastAsia="en-US" w:bidi="pl-PL"/>
              </w:rPr>
              <w:t xml:space="preserve"> </w:t>
            </w:r>
            <w:r w:rsidRPr="00790072">
              <w:rPr>
                <w:rFonts w:ascii="Times New Roman" w:eastAsia="Calibri" w:hAnsi="Times New Roman"/>
                <w:b/>
                <w:color w:val="000000"/>
                <w:sz w:val="20"/>
                <w:lang w:val="pl-PL" w:eastAsia="en-US" w:bidi="pl-PL"/>
              </w:rPr>
              <w:t>czasu</w:t>
            </w:r>
            <w:r w:rsidR="00790072" w:rsidRPr="00790072">
              <w:rPr>
                <w:rFonts w:ascii="Times New Roman" w:eastAsia="Calibri" w:hAnsi="Times New Roman"/>
                <w:b/>
                <w:color w:val="000000"/>
                <w:sz w:val="20"/>
                <w:lang w:val="pl-PL" w:eastAsia="en-US" w:bidi="pl-PL"/>
              </w:rPr>
              <w:t xml:space="preserve"> </w:t>
            </w:r>
            <w:r w:rsidRPr="00790072">
              <w:rPr>
                <w:rFonts w:ascii="Times New Roman" w:eastAsia="Calibri" w:hAnsi="Times New Roman"/>
                <w:b/>
                <w:color w:val="000000"/>
                <w:sz w:val="20"/>
                <w:lang w:val="pl-PL" w:eastAsia="en-US" w:bidi="pl-PL"/>
              </w:rPr>
              <w:t>leczenia</w:t>
            </w:r>
            <w:r w:rsidR="00790072" w:rsidRPr="00790072">
              <w:rPr>
                <w:rFonts w:ascii="Times New Roman" w:eastAsia="Calibri" w:hAnsi="Times New Roman"/>
                <w:b/>
                <w:color w:val="000000"/>
                <w:sz w:val="20"/>
                <w:lang w:val="pl-PL" w:eastAsia="en-US" w:bidi="pl-PL"/>
              </w:rPr>
              <w:t xml:space="preserve"> </w:t>
            </w:r>
            <w:r w:rsidRPr="00790072">
              <w:rPr>
                <w:rFonts w:ascii="Times New Roman" w:eastAsia="Calibri" w:hAnsi="Times New Roman"/>
                <w:b/>
                <w:color w:val="000000"/>
                <w:sz w:val="20"/>
                <w:lang w:val="pl-PL" w:eastAsia="en-US" w:bidi="pl-PL"/>
              </w:rPr>
              <w:t>w</w:t>
            </w:r>
            <w:r w:rsidR="00790072" w:rsidRPr="00790072">
              <w:rPr>
                <w:rFonts w:ascii="Times New Roman" w:eastAsia="Calibri" w:hAnsi="Times New Roman"/>
                <w:b/>
                <w:color w:val="000000"/>
                <w:sz w:val="20"/>
                <w:lang w:val="pl-PL" w:eastAsia="en-US" w:bidi="pl-PL"/>
              </w:rPr>
              <w:t xml:space="preserve"> </w:t>
            </w:r>
            <w:r w:rsidRPr="00790072">
              <w:rPr>
                <w:rFonts w:ascii="Times New Roman" w:eastAsia="Calibri" w:hAnsi="Times New Roman"/>
                <w:b/>
                <w:color w:val="000000"/>
                <w:sz w:val="20"/>
                <w:lang w:val="pl-PL" w:eastAsia="en-US" w:bidi="pl-PL"/>
              </w:rPr>
              <w:t>programie</w:t>
            </w:r>
          </w:p>
          <w:p w14:paraId="7E095D8E" w14:textId="693B7877" w:rsidR="00287AA4" w:rsidRPr="00790072" w:rsidRDefault="00287AA4" w:rsidP="00790072">
            <w:pPr>
              <w:widowControl w:val="0"/>
              <w:spacing w:after="60" w:line="276" w:lineRule="auto"/>
              <w:jc w:val="both"/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</w:pPr>
            <w:r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>Leczenie</w:t>
            </w:r>
            <w:r w:rsidR="00790072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 xml:space="preserve"> </w:t>
            </w:r>
            <w:r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>trwa</w:t>
            </w:r>
            <w:r w:rsidR="00790072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 xml:space="preserve"> </w:t>
            </w:r>
            <w:r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>do</w:t>
            </w:r>
            <w:r w:rsidR="00790072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 xml:space="preserve"> </w:t>
            </w:r>
            <w:r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>czasu</w:t>
            </w:r>
            <w:r w:rsidR="00790072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 xml:space="preserve"> </w:t>
            </w:r>
            <w:r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>podjęcia</w:t>
            </w:r>
            <w:r w:rsidR="00790072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 xml:space="preserve"> </w:t>
            </w:r>
            <w:r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>przez</w:t>
            </w:r>
            <w:r w:rsidR="00790072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 xml:space="preserve"> </w:t>
            </w:r>
            <w:r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>lekarza</w:t>
            </w:r>
            <w:r w:rsidR="00790072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 xml:space="preserve"> </w:t>
            </w:r>
            <w:r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>prowadzącego</w:t>
            </w:r>
            <w:r w:rsidR="00790072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 xml:space="preserve"> </w:t>
            </w:r>
            <w:r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>decyzji</w:t>
            </w:r>
            <w:r w:rsidR="00790072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 xml:space="preserve"> </w:t>
            </w:r>
            <w:r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>o</w:t>
            </w:r>
            <w:r w:rsidR="00790072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 xml:space="preserve"> </w:t>
            </w:r>
            <w:r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>wyłączeniu</w:t>
            </w:r>
            <w:r w:rsidR="00790072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 xml:space="preserve"> </w:t>
            </w:r>
            <w:r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>świadczeniobiorcy</w:t>
            </w:r>
            <w:r w:rsidR="00790072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 xml:space="preserve"> </w:t>
            </w:r>
            <w:r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>z</w:t>
            </w:r>
            <w:r w:rsidR="00790072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 xml:space="preserve"> </w:t>
            </w:r>
            <w:r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>programu</w:t>
            </w:r>
            <w:r w:rsidR="00790072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 xml:space="preserve"> </w:t>
            </w:r>
            <w:r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>zgodnie</w:t>
            </w:r>
            <w:r w:rsidR="00790072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 xml:space="preserve"> </w:t>
            </w:r>
            <w:r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>z</w:t>
            </w:r>
            <w:r w:rsidR="00790072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 xml:space="preserve"> </w:t>
            </w:r>
            <w:r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>kryteriami</w:t>
            </w:r>
            <w:r w:rsidR="00790072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 xml:space="preserve"> </w:t>
            </w:r>
            <w:r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>wyłączenia.</w:t>
            </w:r>
            <w:r w:rsidR="00790072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 xml:space="preserve"> </w:t>
            </w:r>
            <w:r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>W</w:t>
            </w:r>
            <w:r w:rsidR="00790072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 xml:space="preserve"> </w:t>
            </w:r>
            <w:r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>zależności</w:t>
            </w:r>
            <w:r w:rsidR="00790072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 xml:space="preserve"> </w:t>
            </w:r>
            <w:r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>od</w:t>
            </w:r>
            <w:r w:rsidR="00790072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 xml:space="preserve"> </w:t>
            </w:r>
            <w:r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>indywidualnej</w:t>
            </w:r>
            <w:r w:rsidR="00790072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 xml:space="preserve"> </w:t>
            </w:r>
            <w:r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>tolerancji</w:t>
            </w:r>
            <w:r w:rsidR="00790072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 xml:space="preserve"> </w:t>
            </w:r>
            <w:r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>i</w:t>
            </w:r>
            <w:r w:rsidR="00790072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 xml:space="preserve"> </w:t>
            </w:r>
            <w:r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>bezpieczeństwa</w:t>
            </w:r>
            <w:r w:rsidR="00790072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 xml:space="preserve"> </w:t>
            </w:r>
            <w:r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>stosowania</w:t>
            </w:r>
            <w:r w:rsidR="00790072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 xml:space="preserve"> </w:t>
            </w:r>
            <w:r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>leczenie</w:t>
            </w:r>
            <w:r w:rsidR="00790072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 xml:space="preserve"> </w:t>
            </w:r>
            <w:r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>może</w:t>
            </w:r>
            <w:r w:rsidR="00790072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 xml:space="preserve"> </w:t>
            </w:r>
            <w:r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>być</w:t>
            </w:r>
            <w:r w:rsidR="00790072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 xml:space="preserve"> </w:t>
            </w:r>
            <w:r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>odroczone</w:t>
            </w:r>
            <w:r w:rsidR="00790072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 xml:space="preserve"> </w:t>
            </w:r>
            <w:r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>lub</w:t>
            </w:r>
            <w:r w:rsidR="00790072"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 xml:space="preserve"> </w:t>
            </w:r>
            <w:r w:rsidRPr="00790072">
              <w:rPr>
                <w:rFonts w:ascii="Times New Roman" w:eastAsia="Calibri" w:hAnsi="Times New Roman"/>
                <w:color w:val="000000"/>
                <w:sz w:val="20"/>
                <w:lang w:val="pl-PL" w:eastAsia="en-US" w:bidi="pl-PL"/>
              </w:rPr>
              <w:t>przerwane.</w:t>
            </w:r>
          </w:p>
          <w:p w14:paraId="48570EB1" w14:textId="77777777" w:rsidR="00287AA4" w:rsidRPr="00790072" w:rsidRDefault="00287AA4" w:rsidP="00790072">
            <w:pPr>
              <w:widowControl w:val="0"/>
              <w:spacing w:after="60" w:line="276" w:lineRule="auto"/>
              <w:ind w:left="397"/>
              <w:jc w:val="both"/>
              <w:rPr>
                <w:rFonts w:ascii="Times New Roman" w:eastAsia="Calibri" w:hAnsi="Times New Roman"/>
                <w:b/>
                <w:sz w:val="20"/>
                <w:lang w:val="pl-PL" w:eastAsia="en-US"/>
              </w:rPr>
            </w:pPr>
          </w:p>
          <w:p w14:paraId="4EDB6AC0" w14:textId="579E1D60" w:rsidR="00287AA4" w:rsidRPr="00790072" w:rsidRDefault="00287AA4" w:rsidP="00790072">
            <w:pPr>
              <w:widowControl w:val="0"/>
              <w:numPr>
                <w:ilvl w:val="1"/>
                <w:numId w:val="11"/>
              </w:numPr>
              <w:spacing w:after="60" w:line="276" w:lineRule="auto"/>
              <w:jc w:val="both"/>
              <w:rPr>
                <w:rFonts w:ascii="Times New Roman" w:eastAsia="Calibri" w:hAnsi="Times New Roman"/>
                <w:b/>
                <w:sz w:val="20"/>
                <w:lang w:val="pl-PL" w:eastAsia="en-US"/>
              </w:rPr>
            </w:pPr>
            <w:r w:rsidRPr="00790072">
              <w:rPr>
                <w:rFonts w:ascii="Times New Roman" w:eastAsia="Calibri" w:hAnsi="Times New Roman"/>
                <w:b/>
                <w:color w:val="000000"/>
                <w:sz w:val="20"/>
                <w:lang w:val="pl-PL" w:eastAsia="en-US" w:bidi="pl-PL"/>
              </w:rPr>
              <w:t>Kryteria</w:t>
            </w:r>
            <w:r w:rsidR="00790072" w:rsidRPr="00790072">
              <w:rPr>
                <w:rFonts w:ascii="Times New Roman" w:eastAsia="Calibri" w:hAnsi="Times New Roman"/>
                <w:b/>
                <w:color w:val="000000"/>
                <w:sz w:val="20"/>
                <w:lang w:val="pl-PL" w:eastAsia="en-US" w:bidi="pl-PL"/>
              </w:rPr>
              <w:t xml:space="preserve"> </w:t>
            </w:r>
            <w:r w:rsidRPr="00790072">
              <w:rPr>
                <w:rFonts w:ascii="Times New Roman" w:eastAsia="Calibri" w:hAnsi="Times New Roman"/>
                <w:b/>
                <w:color w:val="000000"/>
                <w:sz w:val="20"/>
                <w:lang w:val="pl-PL" w:eastAsia="en-US" w:bidi="pl-PL"/>
              </w:rPr>
              <w:t>wyłączenia</w:t>
            </w:r>
            <w:r w:rsidR="00790072" w:rsidRPr="00790072">
              <w:rPr>
                <w:rFonts w:ascii="Times New Roman" w:eastAsia="Calibri" w:hAnsi="Times New Roman"/>
                <w:b/>
                <w:color w:val="000000"/>
                <w:sz w:val="20"/>
                <w:lang w:val="pl-PL" w:eastAsia="en-US" w:bidi="pl-PL"/>
              </w:rPr>
              <w:t xml:space="preserve"> </w:t>
            </w:r>
            <w:r w:rsidRPr="00790072">
              <w:rPr>
                <w:rFonts w:ascii="Times New Roman" w:eastAsia="Calibri" w:hAnsi="Times New Roman"/>
                <w:b/>
                <w:color w:val="000000"/>
                <w:sz w:val="20"/>
                <w:lang w:val="pl-PL" w:eastAsia="en-US" w:bidi="pl-PL"/>
              </w:rPr>
              <w:t>z</w:t>
            </w:r>
            <w:r w:rsidR="00790072" w:rsidRPr="00790072">
              <w:rPr>
                <w:rFonts w:ascii="Times New Roman" w:eastAsia="Calibri" w:hAnsi="Times New Roman"/>
                <w:b/>
                <w:color w:val="000000"/>
                <w:sz w:val="20"/>
                <w:lang w:val="pl-PL" w:eastAsia="en-US" w:bidi="pl-PL"/>
              </w:rPr>
              <w:t xml:space="preserve"> </w:t>
            </w:r>
            <w:r w:rsidRPr="00790072">
              <w:rPr>
                <w:rFonts w:ascii="Times New Roman" w:eastAsia="Calibri" w:hAnsi="Times New Roman"/>
                <w:b/>
                <w:color w:val="000000"/>
                <w:sz w:val="20"/>
                <w:lang w:val="pl-PL" w:eastAsia="en-US" w:bidi="pl-PL"/>
              </w:rPr>
              <w:t>programu</w:t>
            </w:r>
          </w:p>
          <w:p w14:paraId="529B2868" w14:textId="76E6E565" w:rsidR="008250ED" w:rsidRPr="00790072" w:rsidRDefault="008250ED" w:rsidP="00790072">
            <w:pPr>
              <w:widowControl w:val="0"/>
              <w:numPr>
                <w:ilvl w:val="3"/>
                <w:numId w:val="11"/>
              </w:numPr>
              <w:spacing w:after="60" w:line="276" w:lineRule="auto"/>
              <w:jc w:val="both"/>
              <w:rPr>
                <w:rFonts w:ascii="Times New Roman" w:eastAsia="Calibri" w:hAnsi="Times New Roman"/>
                <w:sz w:val="20"/>
                <w:lang w:val="pl-PL" w:eastAsia="en-US"/>
              </w:rPr>
            </w:pP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progresja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choroby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nowotworowej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oceniona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zgodnie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z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kryteriami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RECIST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1.1.;</w:t>
            </w:r>
          </w:p>
          <w:p w14:paraId="256A03C3" w14:textId="18D5CF59" w:rsidR="008250ED" w:rsidRPr="00790072" w:rsidRDefault="008250ED" w:rsidP="00790072">
            <w:pPr>
              <w:widowControl w:val="0"/>
              <w:numPr>
                <w:ilvl w:val="3"/>
                <w:numId w:val="11"/>
              </w:numPr>
              <w:spacing w:after="60" w:line="276" w:lineRule="auto"/>
              <w:jc w:val="both"/>
              <w:rPr>
                <w:rFonts w:ascii="Times New Roman" w:eastAsia="Calibri" w:hAnsi="Times New Roman"/>
                <w:sz w:val="20"/>
                <w:lang w:val="pl-PL" w:eastAsia="en-US"/>
              </w:rPr>
            </w:pP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pogorszenie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(istotne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klinicznie)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stanu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pacjenta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w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związku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z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nowotworem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bez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progresji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potwierdzonej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w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badaniu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przedmiotowym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lub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obrazowym;</w:t>
            </w:r>
          </w:p>
          <w:p w14:paraId="6F1F0B7B" w14:textId="30602452" w:rsidR="008250ED" w:rsidRPr="00790072" w:rsidRDefault="008250ED" w:rsidP="00790072">
            <w:pPr>
              <w:widowControl w:val="0"/>
              <w:numPr>
                <w:ilvl w:val="3"/>
                <w:numId w:val="11"/>
              </w:numPr>
              <w:spacing w:after="60" w:line="276" w:lineRule="auto"/>
              <w:jc w:val="both"/>
              <w:rPr>
                <w:rFonts w:ascii="Times New Roman" w:eastAsia="Calibri" w:hAnsi="Times New Roman"/>
                <w:sz w:val="20"/>
                <w:lang w:val="pl-PL" w:eastAsia="en-US"/>
              </w:rPr>
            </w:pP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wystąpienie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toksyczności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leczenia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będącej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zagrożeniem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życia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według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aktualnych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kryteriów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klasyfikacji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CTC-AE;</w:t>
            </w:r>
          </w:p>
          <w:p w14:paraId="15085E01" w14:textId="7C7E325D" w:rsidR="008250ED" w:rsidRPr="00790072" w:rsidRDefault="008250ED" w:rsidP="00790072">
            <w:pPr>
              <w:widowControl w:val="0"/>
              <w:numPr>
                <w:ilvl w:val="3"/>
                <w:numId w:val="11"/>
              </w:numPr>
              <w:spacing w:after="60" w:line="276" w:lineRule="auto"/>
              <w:jc w:val="both"/>
              <w:rPr>
                <w:rFonts w:ascii="Times New Roman" w:eastAsia="Calibri" w:hAnsi="Times New Roman"/>
                <w:sz w:val="20"/>
                <w:lang w:val="pl-PL" w:eastAsia="en-US"/>
              </w:rPr>
            </w:pP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wystąpienie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nawracającej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lub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nieakceptowalnej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toksyczności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leczenia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w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stopniu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3.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lub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4.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według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aktualnych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kryteriów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klasyfikacji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CTC-AE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(wznowienie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leczenia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możliwe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po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ustąpieniu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objawów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toksyczności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lub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zmniejszeniu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nasilenia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do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stopnia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1.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lub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2.);</w:t>
            </w:r>
          </w:p>
          <w:p w14:paraId="7D0B0AA0" w14:textId="6D39C8CC" w:rsidR="008250ED" w:rsidRPr="00790072" w:rsidRDefault="008250ED" w:rsidP="00790072">
            <w:pPr>
              <w:widowControl w:val="0"/>
              <w:numPr>
                <w:ilvl w:val="3"/>
                <w:numId w:val="11"/>
              </w:numPr>
              <w:spacing w:after="60" w:line="276" w:lineRule="auto"/>
              <w:jc w:val="both"/>
              <w:rPr>
                <w:rFonts w:ascii="Times New Roman" w:eastAsia="Calibri" w:hAnsi="Times New Roman"/>
                <w:sz w:val="20"/>
                <w:lang w:val="pl-PL" w:eastAsia="en-US"/>
              </w:rPr>
            </w:pP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długotrwałe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pogorszenie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sprawności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ogólnej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do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stopnia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2-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4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według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kryteriów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Zubroda-WHO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lub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ECOG;</w:t>
            </w:r>
          </w:p>
          <w:p w14:paraId="2BA39A28" w14:textId="768A6413" w:rsidR="008250ED" w:rsidRPr="00790072" w:rsidRDefault="008250ED" w:rsidP="00790072">
            <w:pPr>
              <w:widowControl w:val="0"/>
              <w:numPr>
                <w:ilvl w:val="3"/>
                <w:numId w:val="11"/>
              </w:numPr>
              <w:spacing w:after="60" w:line="276" w:lineRule="auto"/>
              <w:jc w:val="both"/>
              <w:rPr>
                <w:rFonts w:ascii="Times New Roman" w:eastAsia="Calibri" w:hAnsi="Times New Roman"/>
                <w:sz w:val="20"/>
                <w:lang w:val="pl-PL" w:eastAsia="en-US"/>
              </w:rPr>
            </w:pP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wystąpienie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nadwrażliwości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na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lek,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białko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mysie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lub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substancję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pomocniczą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uniemożliwiające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kontynuację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leczenia;</w:t>
            </w:r>
          </w:p>
          <w:p w14:paraId="3E5DB817" w14:textId="6BA9D3D7" w:rsidR="008250ED" w:rsidRPr="00790072" w:rsidRDefault="008250ED" w:rsidP="00790072">
            <w:pPr>
              <w:widowControl w:val="0"/>
              <w:numPr>
                <w:ilvl w:val="3"/>
                <w:numId w:val="11"/>
              </w:numPr>
              <w:spacing w:after="60" w:line="276" w:lineRule="auto"/>
              <w:jc w:val="both"/>
              <w:rPr>
                <w:rFonts w:ascii="Times New Roman" w:eastAsia="Calibri" w:hAnsi="Times New Roman"/>
                <w:sz w:val="20"/>
                <w:lang w:val="pl-PL" w:eastAsia="en-US"/>
              </w:rPr>
            </w:pP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pogorszenie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jakości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życia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o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istotnym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znaczeniu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według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oceny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lekarza;</w:t>
            </w:r>
          </w:p>
          <w:p w14:paraId="2C6C0FBE" w14:textId="3FC347AD" w:rsidR="008250ED" w:rsidRPr="00790072" w:rsidRDefault="008250ED" w:rsidP="00790072">
            <w:pPr>
              <w:widowControl w:val="0"/>
              <w:numPr>
                <w:ilvl w:val="3"/>
                <w:numId w:val="11"/>
              </w:numPr>
              <w:spacing w:after="60" w:line="276" w:lineRule="auto"/>
              <w:jc w:val="both"/>
              <w:rPr>
                <w:rFonts w:ascii="Times New Roman" w:eastAsia="Calibri" w:hAnsi="Times New Roman"/>
                <w:sz w:val="20"/>
                <w:lang w:val="pl-PL" w:eastAsia="en-US"/>
              </w:rPr>
            </w:pP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okres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ciąży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lub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karmienia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piersią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–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z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wyjątkiem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przypadków,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w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których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lekarz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wspólnie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z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Konsultantem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Krajowym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lub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Konsultantem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Wojewódzkim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oceni,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że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ryzyko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zastosowania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terapii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przeciwnowotworowej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ma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większą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korzyść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niż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ryzyko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i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uzasadnione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jest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finansowanie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terapii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w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programie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w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takim</w:t>
            </w:r>
            <w:r w:rsidR="00790072"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Calibri" w:hAnsi="Times New Roman"/>
                <w:sz w:val="20"/>
                <w:lang w:val="pl-PL" w:eastAsia="en-US"/>
              </w:rPr>
              <w:t>przypadku.</w:t>
            </w:r>
          </w:p>
          <w:p w14:paraId="24E84DDC" w14:textId="77777777" w:rsidR="00287AA4" w:rsidRPr="00790072" w:rsidRDefault="00287AA4" w:rsidP="00790072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sz w:val="20"/>
                <w:lang w:val="pl-PL" w:eastAsia="zh-CN"/>
              </w:rPr>
            </w:pPr>
          </w:p>
          <w:p w14:paraId="7EFFB5B4" w14:textId="77777777" w:rsidR="00287AA4" w:rsidRPr="00790072" w:rsidRDefault="00287AA4" w:rsidP="00790072">
            <w:pPr>
              <w:widowControl w:val="0"/>
              <w:autoSpaceDE w:val="0"/>
              <w:autoSpaceDN w:val="0"/>
              <w:adjustRightInd w:val="0"/>
              <w:spacing w:after="60" w:line="276" w:lineRule="auto"/>
              <w:ind w:left="397"/>
              <w:jc w:val="both"/>
              <w:rPr>
                <w:rFonts w:ascii="Times New Roman" w:eastAsia="SimSun" w:hAnsi="Times New Roman"/>
                <w:sz w:val="20"/>
                <w:lang w:val="pl-PL" w:eastAsia="zh-CN"/>
              </w:rPr>
            </w:pPr>
          </w:p>
        </w:tc>
        <w:tc>
          <w:tcPr>
            <w:tcW w:w="4111" w:type="dxa"/>
            <w:hideMark/>
          </w:tcPr>
          <w:p w14:paraId="0B0459F3" w14:textId="7C3341F7" w:rsidR="008725F5" w:rsidRPr="00790072" w:rsidRDefault="008725F5" w:rsidP="00790072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lang w:val="pl-PL" w:eastAsia="pl-PL"/>
              </w:rPr>
            </w:pPr>
            <w:r w:rsidRPr="00790072">
              <w:rPr>
                <w:rFonts w:ascii="Times New Roman" w:hAnsi="Times New Roman"/>
                <w:b/>
                <w:bCs/>
                <w:sz w:val="20"/>
                <w:lang w:val="pl-PL" w:eastAsia="pl-PL"/>
              </w:rPr>
              <w:t>Dawkowanie</w:t>
            </w:r>
          </w:p>
          <w:p w14:paraId="7C4AFF07" w14:textId="6F5097AC" w:rsidR="008725F5" w:rsidRPr="00790072" w:rsidRDefault="008725F5" w:rsidP="0079007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/>
                <w:sz w:val="20"/>
                <w:lang w:val="pl-PL" w:eastAsia="pl-PL"/>
              </w:rPr>
            </w:pPr>
            <w:r w:rsidRPr="00790072">
              <w:rPr>
                <w:rFonts w:ascii="Times New Roman" w:hAnsi="Times New Roman"/>
                <w:sz w:val="20"/>
                <w:lang w:val="pl-PL" w:eastAsia="pl-PL"/>
              </w:rPr>
              <w:t>Dawka</w:t>
            </w:r>
            <w:r w:rsidR="00790072" w:rsidRPr="00790072">
              <w:rPr>
                <w:rFonts w:ascii="Times New Roman" w:hAnsi="Times New Roman"/>
                <w:sz w:val="20"/>
                <w:lang w:val="pl-PL" w:eastAsia="pl-PL"/>
              </w:rPr>
              <w:t xml:space="preserve"> </w:t>
            </w:r>
            <w:r w:rsidRPr="00790072">
              <w:rPr>
                <w:rFonts w:ascii="Times New Roman" w:hAnsi="Times New Roman"/>
                <w:b/>
                <w:bCs/>
                <w:sz w:val="20"/>
                <w:lang w:val="pl-PL" w:eastAsia="pl-PL"/>
              </w:rPr>
              <w:t>awelumabu</w:t>
            </w:r>
            <w:r w:rsidRPr="00790072">
              <w:rPr>
                <w:rFonts w:ascii="Times New Roman" w:hAnsi="Times New Roman"/>
                <w:sz w:val="20"/>
                <w:lang w:val="pl-PL" w:eastAsia="pl-PL"/>
              </w:rPr>
              <w:t>:</w:t>
            </w:r>
            <w:r w:rsidR="00790072" w:rsidRPr="00790072">
              <w:rPr>
                <w:rFonts w:ascii="Times New Roman" w:hAnsi="Times New Roman"/>
                <w:sz w:val="20"/>
                <w:lang w:val="pl-PL" w:eastAsia="pl-PL"/>
              </w:rPr>
              <w:t xml:space="preserve"> </w:t>
            </w:r>
            <w:r w:rsidRPr="00790072">
              <w:rPr>
                <w:rFonts w:ascii="Times New Roman" w:hAnsi="Times New Roman"/>
                <w:b/>
                <w:bCs/>
                <w:sz w:val="20"/>
                <w:lang w:val="pl-PL" w:eastAsia="pl-PL"/>
              </w:rPr>
              <w:t>800</w:t>
            </w:r>
            <w:r w:rsidR="00790072" w:rsidRPr="00790072">
              <w:rPr>
                <w:rFonts w:ascii="Times New Roman" w:hAnsi="Times New Roman"/>
                <w:b/>
                <w:bCs/>
                <w:sz w:val="20"/>
                <w:lang w:val="pl-PL" w:eastAsia="pl-PL"/>
              </w:rPr>
              <w:t xml:space="preserve"> </w:t>
            </w:r>
            <w:r w:rsidRPr="00790072">
              <w:rPr>
                <w:rFonts w:ascii="Times New Roman" w:hAnsi="Times New Roman"/>
                <w:b/>
                <w:bCs/>
                <w:sz w:val="20"/>
                <w:lang w:val="pl-PL" w:eastAsia="pl-PL"/>
              </w:rPr>
              <w:t>mg</w:t>
            </w:r>
          </w:p>
          <w:p w14:paraId="6426B92F" w14:textId="30319B42" w:rsidR="008725F5" w:rsidRPr="00790072" w:rsidRDefault="008725F5" w:rsidP="0079007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/>
                <w:sz w:val="20"/>
                <w:lang w:val="pl-PL" w:eastAsia="pl-PL"/>
              </w:rPr>
            </w:pPr>
            <w:r w:rsidRPr="00790072">
              <w:rPr>
                <w:rFonts w:ascii="Times New Roman" w:hAnsi="Times New Roman"/>
                <w:sz w:val="20"/>
                <w:lang w:val="pl-PL" w:eastAsia="pl-PL"/>
              </w:rPr>
              <w:t>Każdy</w:t>
            </w:r>
            <w:r w:rsidR="00790072" w:rsidRPr="00790072">
              <w:rPr>
                <w:rFonts w:ascii="Times New Roman" w:hAnsi="Times New Roman"/>
                <w:sz w:val="20"/>
                <w:lang w:val="pl-PL" w:eastAsia="pl-PL"/>
              </w:rPr>
              <w:t xml:space="preserve"> </w:t>
            </w:r>
            <w:r w:rsidRPr="00790072">
              <w:rPr>
                <w:rFonts w:ascii="Times New Roman" w:hAnsi="Times New Roman"/>
                <w:sz w:val="20"/>
                <w:lang w:val="pl-PL" w:eastAsia="pl-PL"/>
              </w:rPr>
              <w:t>cykl</w:t>
            </w:r>
            <w:r w:rsidR="00790072" w:rsidRPr="00790072">
              <w:rPr>
                <w:rFonts w:ascii="Times New Roman" w:hAnsi="Times New Roman"/>
                <w:sz w:val="20"/>
                <w:lang w:val="pl-PL" w:eastAsia="pl-PL"/>
              </w:rPr>
              <w:t xml:space="preserve"> </w:t>
            </w:r>
            <w:r w:rsidRPr="00790072">
              <w:rPr>
                <w:rFonts w:ascii="Times New Roman" w:hAnsi="Times New Roman"/>
                <w:sz w:val="20"/>
                <w:lang w:val="pl-PL" w:eastAsia="pl-PL"/>
              </w:rPr>
              <w:t>obejmuje</w:t>
            </w:r>
            <w:r w:rsidR="00790072" w:rsidRPr="00790072">
              <w:rPr>
                <w:rFonts w:ascii="Times New Roman" w:hAnsi="Times New Roman"/>
                <w:sz w:val="20"/>
                <w:lang w:val="pl-PL" w:eastAsia="pl-PL"/>
              </w:rPr>
              <w:t xml:space="preserve"> </w:t>
            </w:r>
            <w:r w:rsidRPr="00790072">
              <w:rPr>
                <w:rFonts w:ascii="Times New Roman" w:hAnsi="Times New Roman"/>
                <w:b/>
                <w:bCs/>
                <w:sz w:val="20"/>
                <w:lang w:val="pl-PL" w:eastAsia="pl-PL"/>
              </w:rPr>
              <w:t>2</w:t>
            </w:r>
            <w:r w:rsidR="00790072" w:rsidRPr="00790072">
              <w:rPr>
                <w:rFonts w:ascii="Times New Roman" w:hAnsi="Times New Roman"/>
                <w:b/>
                <w:bCs/>
                <w:sz w:val="20"/>
                <w:lang w:val="pl-PL" w:eastAsia="pl-PL"/>
              </w:rPr>
              <w:t xml:space="preserve"> </w:t>
            </w:r>
            <w:r w:rsidRPr="00790072">
              <w:rPr>
                <w:rFonts w:ascii="Times New Roman" w:hAnsi="Times New Roman"/>
                <w:b/>
                <w:bCs/>
                <w:sz w:val="20"/>
                <w:lang w:val="pl-PL" w:eastAsia="pl-PL"/>
              </w:rPr>
              <w:t>tygodnie</w:t>
            </w:r>
            <w:r w:rsidR="00790072" w:rsidRPr="00790072">
              <w:rPr>
                <w:rFonts w:ascii="Times New Roman" w:hAnsi="Times New Roman"/>
                <w:sz w:val="20"/>
                <w:lang w:val="pl-PL" w:eastAsia="pl-PL"/>
              </w:rPr>
              <w:t xml:space="preserve"> </w:t>
            </w:r>
            <w:r w:rsidRPr="00790072">
              <w:rPr>
                <w:rFonts w:ascii="Times New Roman" w:hAnsi="Times New Roman"/>
                <w:sz w:val="20"/>
                <w:lang w:val="pl-PL" w:eastAsia="pl-PL"/>
              </w:rPr>
              <w:t>leczenia</w:t>
            </w:r>
          </w:p>
          <w:p w14:paraId="32EAB0DA" w14:textId="4A55F63B" w:rsidR="00992DDB" w:rsidRPr="00790072" w:rsidRDefault="00992DDB" w:rsidP="00790072">
            <w:p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rFonts w:ascii="Times New Roman" w:hAnsi="Times New Roman"/>
                <w:sz w:val="20"/>
                <w:lang w:val="pl-PL" w:eastAsia="pl-PL"/>
              </w:rPr>
            </w:pPr>
            <w:r w:rsidRPr="00790072">
              <w:rPr>
                <w:rFonts w:ascii="Times New Roman" w:hAnsi="Times New Roman"/>
                <w:sz w:val="20"/>
                <w:lang w:val="pl-PL" w:eastAsia="pl-PL"/>
              </w:rPr>
              <w:t>Dawkowanie</w:t>
            </w:r>
            <w:r w:rsidR="00790072" w:rsidRPr="00790072">
              <w:rPr>
                <w:rFonts w:ascii="Times New Roman" w:hAnsi="Times New Roman"/>
                <w:sz w:val="20"/>
                <w:lang w:val="pl-PL" w:eastAsia="pl-PL"/>
              </w:rPr>
              <w:t xml:space="preserve"> </w:t>
            </w:r>
            <w:r w:rsidRPr="00790072">
              <w:rPr>
                <w:rFonts w:ascii="Times New Roman" w:hAnsi="Times New Roman"/>
                <w:sz w:val="20"/>
                <w:lang w:val="pl-PL" w:eastAsia="pl-PL"/>
              </w:rPr>
              <w:t>leków</w:t>
            </w:r>
            <w:r w:rsidR="00790072" w:rsidRPr="00790072">
              <w:rPr>
                <w:rFonts w:ascii="Times New Roman" w:hAnsi="Times New Roman"/>
                <w:sz w:val="20"/>
                <w:lang w:val="pl-PL" w:eastAsia="pl-PL"/>
              </w:rPr>
              <w:t xml:space="preserve"> </w:t>
            </w:r>
            <w:r w:rsidRPr="00790072">
              <w:rPr>
                <w:rFonts w:ascii="Times New Roman" w:hAnsi="Times New Roman"/>
                <w:sz w:val="20"/>
                <w:lang w:val="pl-PL" w:eastAsia="pl-PL"/>
              </w:rPr>
              <w:t>w</w:t>
            </w:r>
            <w:r w:rsidR="00790072" w:rsidRPr="00790072">
              <w:rPr>
                <w:rFonts w:ascii="Times New Roman" w:hAnsi="Times New Roman"/>
                <w:sz w:val="20"/>
                <w:lang w:val="pl-PL" w:eastAsia="pl-PL"/>
              </w:rPr>
              <w:t xml:space="preserve"> </w:t>
            </w:r>
            <w:r w:rsidRPr="00790072">
              <w:rPr>
                <w:rFonts w:ascii="Times New Roman" w:hAnsi="Times New Roman"/>
                <w:sz w:val="20"/>
                <w:lang w:val="pl-PL" w:eastAsia="pl-PL"/>
              </w:rPr>
              <w:t>programie</w:t>
            </w:r>
            <w:r w:rsidR="00790072" w:rsidRPr="00790072">
              <w:rPr>
                <w:rFonts w:ascii="Times New Roman" w:hAnsi="Times New Roman"/>
                <w:sz w:val="20"/>
                <w:lang w:val="pl-PL" w:eastAsia="pl-PL"/>
              </w:rPr>
              <w:t xml:space="preserve"> </w:t>
            </w:r>
            <w:r w:rsidRPr="00790072">
              <w:rPr>
                <w:rFonts w:ascii="Times New Roman" w:hAnsi="Times New Roman"/>
                <w:sz w:val="20"/>
                <w:lang w:val="pl-PL" w:eastAsia="pl-PL"/>
              </w:rPr>
              <w:t>i</w:t>
            </w:r>
            <w:r w:rsidR="00790072" w:rsidRPr="00790072">
              <w:rPr>
                <w:rFonts w:ascii="Times New Roman" w:hAnsi="Times New Roman"/>
                <w:sz w:val="20"/>
                <w:lang w:val="pl-PL" w:eastAsia="pl-PL"/>
              </w:rPr>
              <w:t xml:space="preserve"> </w:t>
            </w:r>
            <w:r w:rsidRPr="00790072">
              <w:rPr>
                <w:rFonts w:ascii="Times New Roman" w:hAnsi="Times New Roman"/>
                <w:sz w:val="20"/>
                <w:lang w:val="pl-PL" w:eastAsia="pl-PL"/>
              </w:rPr>
              <w:t>modyfikowanie</w:t>
            </w:r>
            <w:r w:rsidR="00790072" w:rsidRPr="00790072">
              <w:rPr>
                <w:rFonts w:ascii="Times New Roman" w:hAnsi="Times New Roman"/>
                <w:sz w:val="20"/>
                <w:lang w:val="pl-PL" w:eastAsia="pl-PL"/>
              </w:rPr>
              <w:t xml:space="preserve"> </w:t>
            </w:r>
            <w:r w:rsidRPr="00790072">
              <w:rPr>
                <w:rFonts w:ascii="Times New Roman" w:hAnsi="Times New Roman"/>
                <w:sz w:val="20"/>
                <w:lang w:val="pl-PL" w:eastAsia="pl-PL"/>
              </w:rPr>
              <w:t>leczenia</w:t>
            </w:r>
            <w:r w:rsidR="00790072" w:rsidRPr="00790072">
              <w:rPr>
                <w:rFonts w:ascii="Times New Roman" w:hAnsi="Times New Roman"/>
                <w:sz w:val="20"/>
                <w:lang w:val="pl-PL" w:eastAsia="pl-PL"/>
              </w:rPr>
              <w:t xml:space="preserve"> </w:t>
            </w:r>
            <w:r w:rsidRPr="00790072">
              <w:rPr>
                <w:rFonts w:ascii="Times New Roman" w:hAnsi="Times New Roman"/>
                <w:sz w:val="20"/>
                <w:lang w:val="pl-PL" w:eastAsia="pl-PL"/>
              </w:rPr>
              <w:t>powinno</w:t>
            </w:r>
            <w:r w:rsidR="00790072" w:rsidRPr="00790072">
              <w:rPr>
                <w:rFonts w:ascii="Times New Roman" w:hAnsi="Times New Roman"/>
                <w:sz w:val="20"/>
                <w:lang w:val="pl-PL" w:eastAsia="pl-PL"/>
              </w:rPr>
              <w:t xml:space="preserve"> </w:t>
            </w:r>
            <w:r w:rsidRPr="00790072">
              <w:rPr>
                <w:rFonts w:ascii="Times New Roman" w:hAnsi="Times New Roman"/>
                <w:sz w:val="20"/>
                <w:lang w:val="pl-PL" w:eastAsia="pl-PL"/>
              </w:rPr>
              <w:t>być</w:t>
            </w:r>
            <w:r w:rsidR="00790072" w:rsidRPr="00790072">
              <w:rPr>
                <w:rFonts w:ascii="Times New Roman" w:hAnsi="Times New Roman"/>
                <w:sz w:val="20"/>
                <w:lang w:val="pl-PL" w:eastAsia="pl-PL"/>
              </w:rPr>
              <w:t xml:space="preserve"> </w:t>
            </w:r>
            <w:r w:rsidRPr="00790072">
              <w:rPr>
                <w:rFonts w:ascii="Times New Roman" w:hAnsi="Times New Roman"/>
                <w:sz w:val="20"/>
                <w:lang w:val="pl-PL" w:eastAsia="pl-PL"/>
              </w:rPr>
              <w:t>zgodne</w:t>
            </w:r>
            <w:r w:rsidR="00790072" w:rsidRPr="00790072">
              <w:rPr>
                <w:rFonts w:ascii="Times New Roman" w:hAnsi="Times New Roman"/>
                <w:sz w:val="20"/>
                <w:lang w:val="pl-PL" w:eastAsia="pl-PL"/>
              </w:rPr>
              <w:t xml:space="preserve"> </w:t>
            </w:r>
            <w:r w:rsidRPr="00790072">
              <w:rPr>
                <w:rFonts w:ascii="Times New Roman" w:hAnsi="Times New Roman"/>
                <w:sz w:val="20"/>
                <w:lang w:val="pl-PL" w:eastAsia="pl-PL"/>
              </w:rPr>
              <w:t>z</w:t>
            </w:r>
            <w:r w:rsidR="00790072" w:rsidRPr="00790072">
              <w:rPr>
                <w:rFonts w:ascii="Times New Roman" w:hAnsi="Times New Roman"/>
                <w:sz w:val="20"/>
                <w:lang w:val="pl-PL" w:eastAsia="pl-PL"/>
              </w:rPr>
              <w:t xml:space="preserve"> </w:t>
            </w:r>
            <w:r w:rsidRPr="00790072">
              <w:rPr>
                <w:rFonts w:ascii="Times New Roman" w:hAnsi="Times New Roman"/>
                <w:sz w:val="20"/>
                <w:lang w:val="pl-PL" w:eastAsia="pl-PL"/>
              </w:rPr>
              <w:t>Charakterystyką</w:t>
            </w:r>
            <w:r w:rsidR="00790072" w:rsidRPr="00790072">
              <w:rPr>
                <w:rFonts w:ascii="Times New Roman" w:hAnsi="Times New Roman"/>
                <w:sz w:val="20"/>
                <w:lang w:val="pl-PL" w:eastAsia="pl-PL"/>
              </w:rPr>
              <w:t xml:space="preserve"> </w:t>
            </w:r>
            <w:r w:rsidRPr="00790072">
              <w:rPr>
                <w:rFonts w:ascii="Times New Roman" w:hAnsi="Times New Roman"/>
                <w:sz w:val="20"/>
                <w:lang w:val="pl-PL" w:eastAsia="pl-PL"/>
              </w:rPr>
              <w:t>Produktu</w:t>
            </w:r>
            <w:r w:rsidR="00790072" w:rsidRPr="00790072">
              <w:rPr>
                <w:rFonts w:ascii="Times New Roman" w:hAnsi="Times New Roman"/>
                <w:sz w:val="20"/>
                <w:lang w:val="pl-PL" w:eastAsia="pl-PL"/>
              </w:rPr>
              <w:t xml:space="preserve"> </w:t>
            </w:r>
            <w:r w:rsidRPr="00790072">
              <w:rPr>
                <w:rFonts w:ascii="Times New Roman" w:hAnsi="Times New Roman"/>
                <w:sz w:val="20"/>
                <w:lang w:val="pl-PL" w:eastAsia="pl-PL"/>
              </w:rPr>
              <w:t>Leczniczego</w:t>
            </w:r>
            <w:r w:rsidR="00790072" w:rsidRPr="00790072">
              <w:rPr>
                <w:rFonts w:ascii="Times New Roman" w:hAnsi="Times New Roman"/>
                <w:sz w:val="20"/>
                <w:lang w:val="pl-PL" w:eastAsia="pl-PL"/>
              </w:rPr>
              <w:t xml:space="preserve"> </w:t>
            </w:r>
            <w:r w:rsidRPr="00790072">
              <w:rPr>
                <w:rFonts w:ascii="Times New Roman" w:hAnsi="Times New Roman"/>
                <w:sz w:val="20"/>
                <w:lang w:val="pl-PL" w:eastAsia="pl-PL"/>
              </w:rPr>
              <w:t>aktualną</w:t>
            </w:r>
            <w:r w:rsidR="00790072" w:rsidRPr="00790072">
              <w:rPr>
                <w:rFonts w:ascii="Times New Roman" w:hAnsi="Times New Roman"/>
                <w:sz w:val="20"/>
                <w:lang w:val="pl-PL" w:eastAsia="pl-PL"/>
              </w:rPr>
              <w:t xml:space="preserve"> </w:t>
            </w:r>
            <w:r w:rsidRPr="00790072">
              <w:rPr>
                <w:rFonts w:ascii="Times New Roman" w:hAnsi="Times New Roman"/>
                <w:sz w:val="20"/>
                <w:lang w:val="pl-PL" w:eastAsia="pl-PL"/>
              </w:rPr>
              <w:t>na</w:t>
            </w:r>
            <w:r w:rsidR="00790072" w:rsidRPr="00790072">
              <w:rPr>
                <w:rFonts w:ascii="Times New Roman" w:hAnsi="Times New Roman"/>
                <w:sz w:val="20"/>
                <w:lang w:val="pl-PL" w:eastAsia="pl-PL"/>
              </w:rPr>
              <w:t xml:space="preserve"> </w:t>
            </w:r>
            <w:r w:rsidRPr="00790072">
              <w:rPr>
                <w:rFonts w:ascii="Times New Roman" w:hAnsi="Times New Roman"/>
                <w:sz w:val="20"/>
                <w:lang w:val="pl-PL" w:eastAsia="pl-PL"/>
              </w:rPr>
              <w:t>dzień</w:t>
            </w:r>
            <w:r w:rsidR="00790072" w:rsidRPr="00790072">
              <w:rPr>
                <w:rFonts w:ascii="Times New Roman" w:hAnsi="Times New Roman"/>
                <w:sz w:val="20"/>
                <w:lang w:val="pl-PL" w:eastAsia="pl-PL"/>
              </w:rPr>
              <w:t xml:space="preserve"> </w:t>
            </w:r>
            <w:r w:rsidRPr="00790072">
              <w:rPr>
                <w:rFonts w:ascii="Times New Roman" w:hAnsi="Times New Roman"/>
                <w:sz w:val="20"/>
                <w:lang w:val="pl-PL" w:eastAsia="pl-PL"/>
              </w:rPr>
              <w:t>wydania</w:t>
            </w:r>
            <w:r w:rsidR="00790072" w:rsidRPr="00790072">
              <w:rPr>
                <w:rFonts w:ascii="Times New Roman" w:hAnsi="Times New Roman"/>
                <w:sz w:val="20"/>
                <w:lang w:val="pl-PL" w:eastAsia="pl-PL"/>
              </w:rPr>
              <w:t xml:space="preserve"> </w:t>
            </w:r>
            <w:r w:rsidRPr="00790072">
              <w:rPr>
                <w:rFonts w:ascii="Times New Roman" w:hAnsi="Times New Roman"/>
                <w:sz w:val="20"/>
                <w:lang w:val="pl-PL" w:eastAsia="pl-PL"/>
              </w:rPr>
              <w:t>decyzji.</w:t>
            </w:r>
          </w:p>
          <w:p w14:paraId="63575019" w14:textId="77777777" w:rsidR="00992DDB" w:rsidRPr="00790072" w:rsidRDefault="00992DDB" w:rsidP="0079007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b/>
                <w:bCs/>
                <w:spacing w:val="-1"/>
                <w:sz w:val="20"/>
                <w:lang w:val="pl-PL" w:eastAsia="zh-CN"/>
              </w:rPr>
            </w:pPr>
          </w:p>
          <w:p w14:paraId="0FB53142" w14:textId="77777777" w:rsidR="006E4AF4" w:rsidRPr="00790072" w:rsidRDefault="006E4AF4" w:rsidP="0079007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spacing w:val="-1"/>
                <w:sz w:val="20"/>
                <w:lang w:val="pl-PL" w:eastAsia="zh-CN"/>
              </w:rPr>
            </w:pPr>
          </w:p>
          <w:p w14:paraId="1ACCC10B" w14:textId="77777777" w:rsidR="00287AA4" w:rsidRPr="00790072" w:rsidRDefault="00287AA4" w:rsidP="0079007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sz w:val="20"/>
                <w:lang w:val="pl-PL" w:eastAsia="zh-CN"/>
              </w:rPr>
            </w:pPr>
          </w:p>
        </w:tc>
        <w:tc>
          <w:tcPr>
            <w:tcW w:w="5612" w:type="dxa"/>
            <w:hideMark/>
          </w:tcPr>
          <w:p w14:paraId="3C167499" w14:textId="192BA55F" w:rsidR="00287AA4" w:rsidRPr="00790072" w:rsidRDefault="00287AA4" w:rsidP="00790072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rFonts w:ascii="Times New Roman" w:eastAsia="SimSun" w:hAnsi="Times New Roman"/>
                <w:b/>
                <w:sz w:val="20"/>
                <w:lang w:val="pl-PL" w:eastAsia="zh-CN"/>
              </w:rPr>
            </w:pPr>
            <w:r w:rsidRPr="00790072">
              <w:rPr>
                <w:rFonts w:ascii="Times New Roman" w:eastAsia="SimSun" w:hAnsi="Times New Roman"/>
                <w:b/>
                <w:sz w:val="20"/>
                <w:lang w:val="pl-PL" w:eastAsia="zh-CN"/>
              </w:rPr>
              <w:t>Badania</w:t>
            </w:r>
            <w:r w:rsidR="00790072" w:rsidRPr="00790072">
              <w:rPr>
                <w:rFonts w:ascii="Times New Roman" w:eastAsia="SimSun" w:hAnsi="Times New Roman"/>
                <w:b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b/>
                <w:sz w:val="20"/>
                <w:lang w:val="pl-PL" w:eastAsia="zh-CN"/>
              </w:rPr>
              <w:t>przy</w:t>
            </w:r>
            <w:r w:rsidR="00790072" w:rsidRPr="00790072">
              <w:rPr>
                <w:rFonts w:ascii="Times New Roman" w:eastAsia="SimSun" w:hAnsi="Times New Roman"/>
                <w:b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b/>
                <w:sz w:val="20"/>
                <w:lang w:val="pl-PL" w:eastAsia="zh-CN"/>
              </w:rPr>
              <w:t>kwalifikacji</w:t>
            </w:r>
          </w:p>
          <w:p w14:paraId="4483F4DD" w14:textId="6695F844" w:rsidR="00287AA4" w:rsidRPr="00790072" w:rsidRDefault="00726482" w:rsidP="00790072">
            <w:pPr>
              <w:widowControl w:val="0"/>
              <w:numPr>
                <w:ilvl w:val="3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bCs/>
                <w:sz w:val="20"/>
                <w:lang w:val="pl-PL" w:eastAsia="zh-CN"/>
              </w:rPr>
            </w:pPr>
            <w:r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>badanie</w:t>
            </w:r>
            <w:r w:rsidR="00790072"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>histopatologiczne</w:t>
            </w:r>
            <w:r w:rsidR="00790072"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>w</w:t>
            </w:r>
            <w:r w:rsidR="00790072"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>celu</w:t>
            </w:r>
            <w:r w:rsidR="00790072"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>potwierdzenia</w:t>
            </w:r>
            <w:r w:rsidR="00790072"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>raka</w:t>
            </w:r>
            <w:r w:rsidR="00790072"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 xml:space="preserve"> </w:t>
            </w:r>
            <w:r w:rsidR="00287AA4"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>urotelialnego;</w:t>
            </w:r>
          </w:p>
          <w:p w14:paraId="15558F9D" w14:textId="77CD5D9C" w:rsidR="00726482" w:rsidRPr="00790072" w:rsidRDefault="00726482" w:rsidP="00790072">
            <w:pPr>
              <w:widowControl w:val="0"/>
              <w:numPr>
                <w:ilvl w:val="3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bCs/>
                <w:sz w:val="20"/>
                <w:lang w:val="pl-PL" w:eastAsia="zh-CN"/>
              </w:rPr>
            </w:pPr>
            <w:r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>morfologia</w:t>
            </w:r>
            <w:r w:rsidR="00790072"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>krwi</w:t>
            </w:r>
            <w:r w:rsidR="00790072"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>z</w:t>
            </w:r>
            <w:r w:rsidR="00790072"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>rozmazem;</w:t>
            </w:r>
          </w:p>
          <w:p w14:paraId="0E733EE6" w14:textId="069A0899" w:rsidR="00726482" w:rsidRPr="00790072" w:rsidRDefault="00726482" w:rsidP="00790072">
            <w:pPr>
              <w:widowControl w:val="0"/>
              <w:numPr>
                <w:ilvl w:val="3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bCs/>
                <w:sz w:val="20"/>
                <w:lang w:val="pl-PL" w:eastAsia="zh-CN"/>
              </w:rPr>
            </w:pPr>
            <w:r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>oznaczenie</w:t>
            </w:r>
            <w:r w:rsidR="00790072"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>stężenia</w:t>
            </w:r>
            <w:r w:rsidR="00790072"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>hemoglobiny;</w:t>
            </w:r>
          </w:p>
          <w:p w14:paraId="7640AE41" w14:textId="12A58A30" w:rsidR="00726482" w:rsidRPr="00790072" w:rsidRDefault="006E16D3" w:rsidP="00790072">
            <w:pPr>
              <w:widowControl w:val="0"/>
              <w:numPr>
                <w:ilvl w:val="3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bCs/>
                <w:sz w:val="20"/>
                <w:lang w:val="pl-PL" w:eastAsia="zh-CN"/>
              </w:rPr>
            </w:pPr>
            <w:r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>oznaczenie</w:t>
            </w:r>
            <w:r w:rsidR="00790072"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>stężenia</w:t>
            </w:r>
            <w:r w:rsidR="00790072"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>kreatyniny;</w:t>
            </w:r>
          </w:p>
          <w:p w14:paraId="2A69F65D" w14:textId="0FD924FE" w:rsidR="006E16D3" w:rsidRPr="00790072" w:rsidRDefault="006E16D3" w:rsidP="00790072">
            <w:pPr>
              <w:widowControl w:val="0"/>
              <w:numPr>
                <w:ilvl w:val="3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bCs/>
                <w:sz w:val="20"/>
                <w:lang w:val="pl-PL" w:eastAsia="zh-CN"/>
              </w:rPr>
            </w:pPr>
            <w:r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>oznaczenie</w:t>
            </w:r>
            <w:r w:rsidR="00790072"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>stężenia</w:t>
            </w:r>
            <w:r w:rsidR="00790072"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>bilirubiny;</w:t>
            </w:r>
          </w:p>
          <w:p w14:paraId="3E1D2647" w14:textId="7A89D9DC" w:rsidR="006E16D3" w:rsidRPr="00790072" w:rsidRDefault="006E16D3" w:rsidP="00790072">
            <w:pPr>
              <w:widowControl w:val="0"/>
              <w:numPr>
                <w:ilvl w:val="3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bCs/>
                <w:sz w:val="20"/>
                <w:lang w:val="pl-PL" w:eastAsia="zh-CN"/>
              </w:rPr>
            </w:pPr>
            <w:r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>oznaczenie</w:t>
            </w:r>
            <w:r w:rsidR="00790072"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>stężenia</w:t>
            </w:r>
            <w:r w:rsidR="00790072"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>aminotransferazy</w:t>
            </w:r>
            <w:r w:rsidR="00790072"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>alaninowej;</w:t>
            </w:r>
          </w:p>
          <w:p w14:paraId="7F52391F" w14:textId="3A64EDB6" w:rsidR="006E16D3" w:rsidRPr="00790072" w:rsidRDefault="006E16D3" w:rsidP="00790072">
            <w:pPr>
              <w:widowControl w:val="0"/>
              <w:numPr>
                <w:ilvl w:val="3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bCs/>
                <w:sz w:val="20"/>
                <w:lang w:val="pl-PL" w:eastAsia="zh-CN"/>
              </w:rPr>
            </w:pPr>
            <w:r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>oznaczenie</w:t>
            </w:r>
            <w:r w:rsidR="00790072"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>stężenia</w:t>
            </w:r>
            <w:r w:rsidR="00790072"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>aminotransferazy</w:t>
            </w:r>
            <w:r w:rsidR="00790072"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>asparaginianowej;</w:t>
            </w:r>
          </w:p>
          <w:p w14:paraId="10665778" w14:textId="1498907A" w:rsidR="006E16D3" w:rsidRPr="00790072" w:rsidRDefault="006E16D3" w:rsidP="00790072">
            <w:pPr>
              <w:widowControl w:val="0"/>
              <w:numPr>
                <w:ilvl w:val="3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bCs/>
                <w:sz w:val="20"/>
                <w:lang w:val="pl-PL" w:eastAsia="zh-CN"/>
              </w:rPr>
            </w:pPr>
            <w:r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>oznaczenie</w:t>
            </w:r>
            <w:r w:rsidR="00790072"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>aktywności</w:t>
            </w:r>
            <w:r w:rsidR="00790072"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>hormonu</w:t>
            </w:r>
            <w:r w:rsidR="00790072"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>tyreotropowego</w:t>
            </w:r>
            <w:r w:rsidR="00790072"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>(TSH);</w:t>
            </w:r>
          </w:p>
          <w:p w14:paraId="41365E27" w14:textId="3E583251" w:rsidR="006E16D3" w:rsidRPr="00790072" w:rsidRDefault="006E16D3" w:rsidP="00790072">
            <w:pPr>
              <w:widowControl w:val="0"/>
              <w:numPr>
                <w:ilvl w:val="3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bCs/>
                <w:sz w:val="20"/>
                <w:lang w:val="pl-PL" w:eastAsia="zh-CN"/>
              </w:rPr>
            </w:pPr>
            <w:r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>oznaczenie</w:t>
            </w:r>
            <w:r w:rsidR="00790072"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>skorygowanego</w:t>
            </w:r>
            <w:r w:rsidR="00790072"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>stężenia</w:t>
            </w:r>
            <w:r w:rsidR="00790072"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>wapnia</w:t>
            </w:r>
            <w:r w:rsidR="00790072"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>w</w:t>
            </w:r>
            <w:r w:rsidR="00790072"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>surowicy;</w:t>
            </w:r>
          </w:p>
          <w:p w14:paraId="5DC6C38D" w14:textId="77D33777" w:rsidR="006E16D3" w:rsidRPr="00790072" w:rsidRDefault="00DC5D0A" w:rsidP="00790072">
            <w:pPr>
              <w:widowControl w:val="0"/>
              <w:numPr>
                <w:ilvl w:val="3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bCs/>
                <w:sz w:val="20"/>
                <w:lang w:val="pl-PL" w:eastAsia="zh-CN"/>
              </w:rPr>
            </w:pPr>
            <w:r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>oznaczenie</w:t>
            </w:r>
            <w:r w:rsidR="00790072"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>stężenia</w:t>
            </w:r>
            <w:r w:rsidR="00790072"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>glukozy</w:t>
            </w:r>
            <w:r w:rsidR="000D532E"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>;</w:t>
            </w:r>
          </w:p>
          <w:p w14:paraId="2D48D9B5" w14:textId="13416045" w:rsidR="000D532E" w:rsidRPr="00790072" w:rsidRDefault="000D532E" w:rsidP="00790072">
            <w:pPr>
              <w:widowControl w:val="0"/>
              <w:numPr>
                <w:ilvl w:val="3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bCs/>
                <w:sz w:val="20"/>
                <w:lang w:val="pl-PL" w:eastAsia="zh-CN"/>
              </w:rPr>
            </w:pPr>
            <w:r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>oznaczenie</w:t>
            </w:r>
            <w:r w:rsidR="00790072"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>antygenu</w:t>
            </w:r>
            <w:r w:rsidR="00790072"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>HBs</w:t>
            </w:r>
            <w:r w:rsidR="00790072"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>(HbsAg);</w:t>
            </w:r>
          </w:p>
          <w:p w14:paraId="5ED4B44B" w14:textId="19765444" w:rsidR="000D532E" w:rsidRPr="00790072" w:rsidRDefault="000D532E" w:rsidP="00790072">
            <w:pPr>
              <w:widowControl w:val="0"/>
              <w:numPr>
                <w:ilvl w:val="3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bCs/>
                <w:sz w:val="20"/>
                <w:lang w:val="pl-PL" w:eastAsia="zh-CN"/>
              </w:rPr>
            </w:pPr>
            <w:r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>oznaczenie</w:t>
            </w:r>
            <w:r w:rsidR="00790072"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>przeciwciał</w:t>
            </w:r>
            <w:r w:rsidR="00790072"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>anty</w:t>
            </w:r>
            <w:r w:rsidR="00790072"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>HCV;</w:t>
            </w:r>
          </w:p>
          <w:p w14:paraId="21157C49" w14:textId="7BB6FFD0" w:rsidR="00DC5D0A" w:rsidRPr="00790072" w:rsidRDefault="00DC5D0A" w:rsidP="00790072">
            <w:pPr>
              <w:widowControl w:val="0"/>
              <w:numPr>
                <w:ilvl w:val="3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bCs/>
                <w:sz w:val="20"/>
                <w:lang w:val="pl-PL" w:eastAsia="zh-CN"/>
              </w:rPr>
            </w:pPr>
            <w:r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>inne</w:t>
            </w:r>
            <w:r w:rsidR="00790072"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>badania</w:t>
            </w:r>
            <w:r w:rsidR="00790072"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>laboratoryjne</w:t>
            </w:r>
            <w:r w:rsidR="00790072"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>w</w:t>
            </w:r>
            <w:r w:rsidR="00790072"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>razie</w:t>
            </w:r>
            <w:r w:rsidR="00790072"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>wskazań</w:t>
            </w:r>
            <w:r w:rsidR="00790072"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>klinicznych;</w:t>
            </w:r>
          </w:p>
          <w:p w14:paraId="504DCA98" w14:textId="30812988" w:rsidR="00DC5D0A" w:rsidRPr="00790072" w:rsidRDefault="00DC5D0A" w:rsidP="00790072">
            <w:pPr>
              <w:widowControl w:val="0"/>
              <w:numPr>
                <w:ilvl w:val="3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bCs/>
                <w:sz w:val="20"/>
                <w:lang w:val="pl-PL" w:eastAsia="zh-CN"/>
              </w:rPr>
            </w:pPr>
            <w:r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>test</w:t>
            </w:r>
            <w:r w:rsidR="00790072"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>ciążowy</w:t>
            </w:r>
            <w:r w:rsidR="00790072"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>u</w:t>
            </w:r>
            <w:r w:rsidR="00790072"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>kobiet</w:t>
            </w:r>
            <w:r w:rsidR="00790072"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>w</w:t>
            </w:r>
            <w:r w:rsidR="00790072"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>wieku</w:t>
            </w:r>
            <w:r w:rsidR="00790072"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>rozrodczym;</w:t>
            </w:r>
          </w:p>
          <w:p w14:paraId="53620D66" w14:textId="353883CA" w:rsidR="00DC5D0A" w:rsidRPr="00790072" w:rsidRDefault="00DC5D0A" w:rsidP="00790072">
            <w:pPr>
              <w:widowControl w:val="0"/>
              <w:numPr>
                <w:ilvl w:val="3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bCs/>
                <w:sz w:val="20"/>
                <w:lang w:val="pl-PL" w:eastAsia="zh-CN"/>
              </w:rPr>
            </w:pPr>
            <w:r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>TK</w:t>
            </w:r>
            <w:r w:rsidR="00790072"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 xml:space="preserve"> </w:t>
            </w:r>
            <w:r w:rsidR="000D532E"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>klatki</w:t>
            </w:r>
            <w:r w:rsidR="00790072"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 xml:space="preserve"> </w:t>
            </w:r>
            <w:r w:rsidR="000D532E"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>piersiowej</w:t>
            </w:r>
            <w:r w:rsidR="00790072"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 xml:space="preserve"> </w:t>
            </w:r>
            <w:r w:rsidR="000D532E"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>i</w:t>
            </w:r>
            <w:r w:rsidR="00790072"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 xml:space="preserve"> </w:t>
            </w:r>
            <w:r w:rsidR="000D532E"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>jamy</w:t>
            </w:r>
            <w:r w:rsidR="00790072"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 xml:space="preserve"> </w:t>
            </w:r>
            <w:r w:rsidR="000D532E"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>brzusznej;</w:t>
            </w:r>
          </w:p>
          <w:p w14:paraId="73A8D645" w14:textId="253E8D5C" w:rsidR="000D532E" w:rsidRPr="00790072" w:rsidRDefault="000D532E" w:rsidP="00790072">
            <w:pPr>
              <w:widowControl w:val="0"/>
              <w:numPr>
                <w:ilvl w:val="3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bCs/>
                <w:sz w:val="20"/>
                <w:lang w:val="pl-PL" w:eastAsia="zh-CN"/>
              </w:rPr>
            </w:pPr>
            <w:r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>RTG</w:t>
            </w:r>
            <w:r w:rsidR="00790072"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>klatki</w:t>
            </w:r>
            <w:r w:rsidR="00790072"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>piersiowej</w:t>
            </w:r>
            <w:r w:rsidR="00790072"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>–</w:t>
            </w:r>
            <w:r w:rsidR="00790072"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>wyłącznie</w:t>
            </w:r>
            <w:r w:rsidR="00790072"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>w</w:t>
            </w:r>
            <w:r w:rsidR="00790072"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>przypadkach</w:t>
            </w:r>
            <w:r w:rsidR="00790072"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>możliwości</w:t>
            </w:r>
            <w:r w:rsidR="00790072"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>przeprowadzenia</w:t>
            </w:r>
            <w:r w:rsidR="00790072"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>pomiaru</w:t>
            </w:r>
            <w:r w:rsidR="00790072"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>zmian</w:t>
            </w:r>
            <w:r w:rsidR="00790072"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>chorobowych</w:t>
            </w:r>
            <w:r w:rsidR="00790072"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>oraz</w:t>
            </w:r>
            <w:r w:rsidR="00790072"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>oceny</w:t>
            </w:r>
            <w:r w:rsidR="00790072"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>odpowiedzi</w:t>
            </w:r>
            <w:r w:rsidR="00790072"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>na</w:t>
            </w:r>
            <w:r w:rsidR="00790072"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>leczenie;</w:t>
            </w:r>
          </w:p>
          <w:p w14:paraId="06AACFBD" w14:textId="44358C32" w:rsidR="00287AA4" w:rsidRPr="00790072" w:rsidRDefault="00287AA4" w:rsidP="00790072">
            <w:pPr>
              <w:widowControl w:val="0"/>
              <w:numPr>
                <w:ilvl w:val="3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bCs/>
                <w:sz w:val="20"/>
                <w:lang w:val="pl-PL" w:eastAsia="zh-CN"/>
              </w:rPr>
            </w:pPr>
            <w:r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>TK</w:t>
            </w:r>
            <w:r w:rsidR="00790072"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>lub</w:t>
            </w:r>
            <w:r w:rsidR="00790072"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>MR</w:t>
            </w:r>
            <w:r w:rsidR="00790072"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>mózgu</w:t>
            </w:r>
            <w:r w:rsidR="00790072"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>–</w:t>
            </w:r>
            <w:r w:rsidR="00790072"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>w</w:t>
            </w:r>
            <w:r w:rsidR="00790072"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>przypadku</w:t>
            </w:r>
            <w:r w:rsidR="00790072"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>osób</w:t>
            </w:r>
            <w:r w:rsidR="00790072"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>z</w:t>
            </w:r>
            <w:r w:rsidR="00790072"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>podejrzeniem</w:t>
            </w:r>
            <w:r w:rsidR="00790072"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>przerzutów</w:t>
            </w:r>
            <w:r w:rsidR="00790072"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>do</w:t>
            </w:r>
            <w:r w:rsidR="00790072"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>ośrodkowego</w:t>
            </w:r>
            <w:r w:rsidR="00790072"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>układu</w:t>
            </w:r>
            <w:r w:rsidR="00790072"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>nerwowego</w:t>
            </w:r>
            <w:r w:rsidR="00790072"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>(tj.</w:t>
            </w:r>
            <w:r w:rsidR="00790072"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>w</w:t>
            </w:r>
            <w:r w:rsidR="00790072"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>przypadku</w:t>
            </w:r>
            <w:r w:rsidR="00790072"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>objawów</w:t>
            </w:r>
            <w:r w:rsidR="00790072"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>ze</w:t>
            </w:r>
            <w:r w:rsidR="00790072"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>strony</w:t>
            </w:r>
            <w:r w:rsidR="00790072"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>ośrodkowego</w:t>
            </w:r>
            <w:r w:rsidR="00790072"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>układu</w:t>
            </w:r>
            <w:r w:rsidR="00790072"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>nerwowego</w:t>
            </w:r>
            <w:r w:rsidR="00790072"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>oraz</w:t>
            </w:r>
            <w:r w:rsidR="00790072"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>u</w:t>
            </w:r>
            <w:r w:rsidR="00790072"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>osób</w:t>
            </w:r>
            <w:r w:rsidR="00790072"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>po</w:t>
            </w:r>
            <w:r w:rsidR="00790072"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>wcześniejszej</w:t>
            </w:r>
            <w:r w:rsidR="00790072"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>resekcji</w:t>
            </w:r>
            <w:r w:rsidR="00790072"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>lub</w:t>
            </w:r>
            <w:r w:rsidR="00790072"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>napromienianiu</w:t>
            </w:r>
            <w:r w:rsidR="00790072"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>przerzutów);</w:t>
            </w:r>
          </w:p>
          <w:p w14:paraId="61F048DE" w14:textId="02188E55" w:rsidR="00DC5D0A" w:rsidRPr="00790072" w:rsidRDefault="00DC5D0A" w:rsidP="00790072">
            <w:pPr>
              <w:widowControl w:val="0"/>
              <w:numPr>
                <w:ilvl w:val="3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bCs/>
                <w:sz w:val="20"/>
                <w:lang w:val="pl-PL" w:eastAsia="zh-CN"/>
              </w:rPr>
            </w:pPr>
            <w:r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>elektrokardiogram</w:t>
            </w:r>
            <w:r w:rsidR="00790072"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>(EKG);</w:t>
            </w:r>
          </w:p>
          <w:p w14:paraId="5A286A3A" w14:textId="5644D474" w:rsidR="00DC5D0A" w:rsidRPr="00790072" w:rsidRDefault="00DC5D0A" w:rsidP="00790072">
            <w:pPr>
              <w:widowControl w:val="0"/>
              <w:numPr>
                <w:ilvl w:val="3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bCs/>
                <w:sz w:val="20"/>
                <w:lang w:val="pl-PL" w:eastAsia="zh-CN"/>
              </w:rPr>
            </w:pPr>
            <w:r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>pomiar</w:t>
            </w:r>
            <w:r w:rsidR="00790072"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>ciśnienia</w:t>
            </w:r>
            <w:r w:rsidR="00790072"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>tętniczego;</w:t>
            </w:r>
          </w:p>
          <w:p w14:paraId="5B801D64" w14:textId="0AAF05D9" w:rsidR="00287AA4" w:rsidRPr="00790072" w:rsidRDefault="00287AA4" w:rsidP="00790072">
            <w:pPr>
              <w:widowControl w:val="0"/>
              <w:numPr>
                <w:ilvl w:val="3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bCs/>
                <w:sz w:val="20"/>
                <w:lang w:val="pl-PL" w:eastAsia="zh-CN"/>
              </w:rPr>
            </w:pPr>
            <w:r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>inne</w:t>
            </w:r>
            <w:r w:rsidR="00790072"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>badania</w:t>
            </w:r>
            <w:r w:rsidR="00790072"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>obrazowe</w:t>
            </w:r>
            <w:r w:rsidR="00790072"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>w</w:t>
            </w:r>
            <w:r w:rsidR="00790072"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>razie</w:t>
            </w:r>
            <w:r w:rsidR="00790072"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>wskazań</w:t>
            </w:r>
            <w:r w:rsidR="00790072"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bCs/>
                <w:sz w:val="20"/>
                <w:lang w:val="pl-PL" w:eastAsia="zh-CN"/>
              </w:rPr>
              <w:t>klinicznych;</w:t>
            </w:r>
          </w:p>
          <w:p w14:paraId="04DACA44" w14:textId="2F9E79D5" w:rsidR="006E16D3" w:rsidRPr="00790072" w:rsidRDefault="006E16D3" w:rsidP="00790072">
            <w:pPr>
              <w:widowControl w:val="0"/>
              <w:spacing w:after="60" w:line="276" w:lineRule="auto"/>
              <w:jc w:val="both"/>
              <w:rPr>
                <w:rFonts w:ascii="Times New Roman" w:eastAsia="SimSun" w:hAnsi="Times New Roman"/>
                <w:sz w:val="20"/>
                <w:lang w:val="pl-PL" w:eastAsia="en-US"/>
              </w:rPr>
            </w:pPr>
            <w:r w:rsidRPr="00790072">
              <w:rPr>
                <w:rFonts w:ascii="Times New Roman" w:eastAsia="SimSun" w:hAnsi="Times New Roman"/>
                <w:sz w:val="20"/>
                <w:lang w:val="pl-PL" w:eastAsia="en-US"/>
              </w:rPr>
              <w:t>Wstępne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SimSun" w:hAnsi="Times New Roman"/>
                <w:sz w:val="20"/>
                <w:lang w:val="pl-PL" w:eastAsia="en-US"/>
              </w:rPr>
              <w:t>badania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SimSun" w:hAnsi="Times New Roman"/>
                <w:sz w:val="20"/>
                <w:lang w:val="pl-PL" w:eastAsia="en-US"/>
              </w:rPr>
              <w:t>obrazowe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SimSun" w:hAnsi="Times New Roman"/>
                <w:sz w:val="20"/>
                <w:lang w:val="pl-PL" w:eastAsia="en-US"/>
              </w:rPr>
              <w:t>muszą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SimSun" w:hAnsi="Times New Roman"/>
                <w:sz w:val="20"/>
                <w:lang w:val="pl-PL" w:eastAsia="en-US"/>
              </w:rPr>
              <w:t>umożliwić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SimSun" w:hAnsi="Times New Roman"/>
                <w:sz w:val="20"/>
                <w:lang w:val="pl-PL" w:eastAsia="en-US"/>
              </w:rPr>
              <w:t>późniejszą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SimSun" w:hAnsi="Times New Roman"/>
                <w:sz w:val="20"/>
                <w:lang w:val="pl-PL" w:eastAsia="en-US"/>
              </w:rPr>
              <w:t>obiektywną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SimSun" w:hAnsi="Times New Roman"/>
                <w:sz w:val="20"/>
                <w:lang w:val="pl-PL" w:eastAsia="en-US"/>
              </w:rPr>
              <w:t>ocenę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SimSun" w:hAnsi="Times New Roman"/>
                <w:sz w:val="20"/>
                <w:lang w:val="pl-PL" w:eastAsia="en-US"/>
              </w:rPr>
              <w:t>odpowiedzi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SimSun" w:hAnsi="Times New Roman"/>
                <w:sz w:val="20"/>
                <w:lang w:val="pl-PL" w:eastAsia="en-US"/>
              </w:rPr>
              <w:t>na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SimSun" w:hAnsi="Times New Roman"/>
                <w:sz w:val="20"/>
                <w:lang w:val="pl-PL" w:eastAsia="en-US"/>
              </w:rPr>
              <w:t>leczenie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SimSun" w:hAnsi="Times New Roman"/>
                <w:sz w:val="20"/>
                <w:lang w:val="pl-PL" w:eastAsia="en-US"/>
              </w:rPr>
              <w:t>wg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SimSun" w:hAnsi="Times New Roman"/>
                <w:sz w:val="20"/>
                <w:lang w:val="pl-PL" w:eastAsia="en-US"/>
              </w:rPr>
              <w:t>aktualnych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SimSun" w:hAnsi="Times New Roman"/>
                <w:sz w:val="20"/>
                <w:lang w:val="pl-PL" w:eastAsia="en-US"/>
              </w:rPr>
              <w:t>kryteriów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SimSun" w:hAnsi="Times New Roman"/>
                <w:sz w:val="20"/>
                <w:lang w:val="pl-PL" w:eastAsia="en-US"/>
              </w:rPr>
              <w:t>RECIST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en-US"/>
              </w:rPr>
              <w:t xml:space="preserve"> </w:t>
            </w:r>
            <w:r w:rsidRPr="00790072">
              <w:rPr>
                <w:rFonts w:ascii="Times New Roman" w:eastAsia="SimSun" w:hAnsi="Times New Roman"/>
                <w:sz w:val="20"/>
                <w:lang w:val="pl-PL" w:eastAsia="en-US"/>
              </w:rPr>
              <w:t>1.1.</w:t>
            </w:r>
          </w:p>
          <w:p w14:paraId="588E5371" w14:textId="77777777" w:rsidR="006E4AF4" w:rsidRPr="00790072" w:rsidRDefault="006E4AF4" w:rsidP="00790072">
            <w:pPr>
              <w:widowControl w:val="0"/>
              <w:spacing w:after="60" w:line="276" w:lineRule="auto"/>
              <w:jc w:val="both"/>
              <w:rPr>
                <w:rFonts w:ascii="Times New Roman" w:eastAsia="SimSun" w:hAnsi="Times New Roman"/>
                <w:sz w:val="20"/>
                <w:lang w:val="pl-PL" w:eastAsia="en-US"/>
              </w:rPr>
            </w:pPr>
          </w:p>
          <w:p w14:paraId="6723ED7D" w14:textId="5B8527DF" w:rsidR="00287AA4" w:rsidRPr="00790072" w:rsidRDefault="00287AA4" w:rsidP="00790072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b/>
                <w:sz w:val="20"/>
                <w:lang w:val="pl-PL" w:eastAsia="zh-CN"/>
              </w:rPr>
            </w:pPr>
            <w:r w:rsidRPr="00790072">
              <w:rPr>
                <w:rFonts w:ascii="Times New Roman" w:eastAsia="SimSun" w:hAnsi="Times New Roman"/>
                <w:b/>
                <w:sz w:val="20"/>
                <w:lang w:val="pl-PL" w:eastAsia="zh-CN"/>
              </w:rPr>
              <w:t>Monitorowanie</w:t>
            </w:r>
            <w:r w:rsidR="00790072" w:rsidRPr="00790072">
              <w:rPr>
                <w:rFonts w:ascii="Times New Roman" w:eastAsia="SimSun" w:hAnsi="Times New Roman"/>
                <w:b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b/>
                <w:sz w:val="20"/>
                <w:lang w:val="pl-PL" w:eastAsia="zh-CN"/>
              </w:rPr>
              <w:t>bezpieczeństwa</w:t>
            </w:r>
            <w:r w:rsidR="00790072" w:rsidRPr="00790072">
              <w:rPr>
                <w:rFonts w:ascii="Times New Roman" w:eastAsia="SimSun" w:hAnsi="Times New Roman"/>
                <w:b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b/>
                <w:sz w:val="20"/>
                <w:lang w:val="pl-PL" w:eastAsia="zh-CN"/>
              </w:rPr>
              <w:t>leczenia</w:t>
            </w:r>
          </w:p>
          <w:p w14:paraId="685AD3A3" w14:textId="5C10D341" w:rsidR="00ED2546" w:rsidRPr="00790072" w:rsidRDefault="00ED2546" w:rsidP="00790072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lang w:val="pl-PL" w:eastAsia="en-US"/>
              </w:rPr>
            </w:pPr>
            <w:r w:rsidRPr="00790072">
              <w:rPr>
                <w:rFonts w:ascii="Times New Roman" w:hAnsi="Times New Roman"/>
                <w:sz w:val="20"/>
                <w:lang w:val="pl-PL"/>
              </w:rPr>
              <w:t>morfologia</w:t>
            </w:r>
            <w:r w:rsidR="00790072" w:rsidRPr="00790072">
              <w:rPr>
                <w:rFonts w:ascii="Times New Roman" w:hAnsi="Times New Roman"/>
                <w:sz w:val="20"/>
                <w:lang w:val="pl-PL"/>
              </w:rPr>
              <w:t xml:space="preserve"> </w:t>
            </w:r>
            <w:r w:rsidRPr="00790072">
              <w:rPr>
                <w:rFonts w:ascii="Times New Roman" w:hAnsi="Times New Roman"/>
                <w:sz w:val="20"/>
                <w:lang w:val="pl-PL"/>
              </w:rPr>
              <w:t>krwi</w:t>
            </w:r>
            <w:r w:rsidR="00790072" w:rsidRPr="00790072">
              <w:rPr>
                <w:rFonts w:ascii="Times New Roman" w:hAnsi="Times New Roman"/>
                <w:sz w:val="20"/>
                <w:lang w:val="pl-PL"/>
              </w:rPr>
              <w:t xml:space="preserve"> </w:t>
            </w:r>
            <w:r w:rsidRPr="00790072">
              <w:rPr>
                <w:rFonts w:ascii="Times New Roman" w:hAnsi="Times New Roman"/>
                <w:sz w:val="20"/>
                <w:lang w:val="pl-PL"/>
              </w:rPr>
              <w:t>z</w:t>
            </w:r>
            <w:r w:rsidR="00790072" w:rsidRPr="00790072">
              <w:rPr>
                <w:rFonts w:ascii="Times New Roman" w:hAnsi="Times New Roman"/>
                <w:sz w:val="20"/>
                <w:lang w:val="pl-PL"/>
              </w:rPr>
              <w:t xml:space="preserve"> </w:t>
            </w:r>
            <w:r w:rsidRPr="00790072">
              <w:rPr>
                <w:rFonts w:ascii="Times New Roman" w:hAnsi="Times New Roman"/>
                <w:sz w:val="20"/>
                <w:lang w:val="pl-PL"/>
              </w:rPr>
              <w:t>rozmazem;</w:t>
            </w:r>
          </w:p>
          <w:p w14:paraId="7F75FE62" w14:textId="6CEE3936" w:rsidR="00ED2546" w:rsidRPr="00790072" w:rsidRDefault="00ED2546" w:rsidP="00790072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lang w:val="pl-PL"/>
              </w:rPr>
            </w:pPr>
            <w:r w:rsidRPr="00790072">
              <w:rPr>
                <w:rFonts w:ascii="Times New Roman" w:hAnsi="Times New Roman"/>
                <w:sz w:val="20"/>
                <w:lang w:val="pl-PL"/>
              </w:rPr>
              <w:t>oznaczenie</w:t>
            </w:r>
            <w:r w:rsidR="00790072" w:rsidRPr="00790072">
              <w:rPr>
                <w:rFonts w:ascii="Times New Roman" w:hAnsi="Times New Roman"/>
                <w:sz w:val="20"/>
                <w:lang w:val="pl-PL"/>
              </w:rPr>
              <w:t xml:space="preserve"> </w:t>
            </w:r>
            <w:r w:rsidRPr="00790072">
              <w:rPr>
                <w:rFonts w:ascii="Times New Roman" w:hAnsi="Times New Roman"/>
                <w:sz w:val="20"/>
                <w:lang w:val="pl-PL"/>
              </w:rPr>
              <w:t>stężenia</w:t>
            </w:r>
            <w:r w:rsidR="00790072" w:rsidRPr="00790072">
              <w:rPr>
                <w:rFonts w:ascii="Times New Roman" w:hAnsi="Times New Roman"/>
                <w:sz w:val="20"/>
                <w:lang w:val="pl-PL"/>
              </w:rPr>
              <w:t xml:space="preserve"> </w:t>
            </w:r>
            <w:r w:rsidRPr="00790072">
              <w:rPr>
                <w:rFonts w:ascii="Times New Roman" w:hAnsi="Times New Roman"/>
                <w:sz w:val="20"/>
                <w:lang w:val="pl-PL"/>
              </w:rPr>
              <w:t>hemoglobiny;</w:t>
            </w:r>
          </w:p>
          <w:p w14:paraId="6CAD0490" w14:textId="4FE95439" w:rsidR="00ED2546" w:rsidRPr="00790072" w:rsidRDefault="00ED2546" w:rsidP="00790072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lang w:val="pl-PL"/>
              </w:rPr>
            </w:pPr>
            <w:r w:rsidRPr="00790072">
              <w:rPr>
                <w:rFonts w:ascii="Times New Roman" w:hAnsi="Times New Roman"/>
                <w:sz w:val="20"/>
                <w:lang w:val="pl-PL"/>
              </w:rPr>
              <w:t>oznaczenia</w:t>
            </w:r>
            <w:r w:rsidR="00790072" w:rsidRPr="00790072">
              <w:rPr>
                <w:rFonts w:ascii="Times New Roman" w:hAnsi="Times New Roman"/>
                <w:sz w:val="20"/>
                <w:lang w:val="pl-PL"/>
              </w:rPr>
              <w:t xml:space="preserve"> </w:t>
            </w:r>
            <w:r w:rsidRPr="00790072">
              <w:rPr>
                <w:rFonts w:ascii="Times New Roman" w:hAnsi="Times New Roman"/>
                <w:sz w:val="20"/>
                <w:lang w:val="pl-PL"/>
              </w:rPr>
              <w:t>stężenia</w:t>
            </w:r>
            <w:r w:rsidR="00790072" w:rsidRPr="00790072">
              <w:rPr>
                <w:rFonts w:ascii="Times New Roman" w:hAnsi="Times New Roman"/>
                <w:sz w:val="20"/>
                <w:lang w:val="pl-PL"/>
              </w:rPr>
              <w:t xml:space="preserve"> </w:t>
            </w:r>
            <w:r w:rsidRPr="00790072">
              <w:rPr>
                <w:rFonts w:ascii="Times New Roman" w:hAnsi="Times New Roman"/>
                <w:sz w:val="20"/>
                <w:lang w:val="pl-PL"/>
              </w:rPr>
              <w:t>kreatyniny;</w:t>
            </w:r>
          </w:p>
          <w:p w14:paraId="4494F808" w14:textId="0D690D37" w:rsidR="00ED2546" w:rsidRPr="00790072" w:rsidRDefault="00ED2546" w:rsidP="00790072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lang w:val="pl-PL"/>
              </w:rPr>
            </w:pPr>
            <w:r w:rsidRPr="00790072">
              <w:rPr>
                <w:rFonts w:ascii="Times New Roman" w:hAnsi="Times New Roman"/>
                <w:sz w:val="20"/>
                <w:lang w:val="pl-PL"/>
              </w:rPr>
              <w:t>oznaczenie</w:t>
            </w:r>
            <w:r w:rsidR="00790072" w:rsidRPr="00790072">
              <w:rPr>
                <w:rFonts w:ascii="Times New Roman" w:hAnsi="Times New Roman"/>
                <w:sz w:val="20"/>
                <w:lang w:val="pl-PL"/>
              </w:rPr>
              <w:t xml:space="preserve"> </w:t>
            </w:r>
            <w:r w:rsidRPr="00790072">
              <w:rPr>
                <w:rFonts w:ascii="Times New Roman" w:hAnsi="Times New Roman"/>
                <w:sz w:val="20"/>
                <w:lang w:val="pl-PL"/>
              </w:rPr>
              <w:t>stężenia</w:t>
            </w:r>
            <w:r w:rsidR="00790072" w:rsidRPr="00790072">
              <w:rPr>
                <w:rFonts w:ascii="Times New Roman" w:hAnsi="Times New Roman"/>
                <w:sz w:val="20"/>
                <w:lang w:val="pl-PL"/>
              </w:rPr>
              <w:t xml:space="preserve"> </w:t>
            </w:r>
            <w:r w:rsidRPr="00790072">
              <w:rPr>
                <w:rFonts w:ascii="Times New Roman" w:hAnsi="Times New Roman"/>
                <w:sz w:val="20"/>
                <w:lang w:val="pl-PL"/>
              </w:rPr>
              <w:t>bilirubiny;</w:t>
            </w:r>
          </w:p>
          <w:p w14:paraId="21FC1E27" w14:textId="5616EF83" w:rsidR="00ED2546" w:rsidRPr="00790072" w:rsidRDefault="00ED2546" w:rsidP="00790072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lang w:val="pl-PL"/>
              </w:rPr>
            </w:pPr>
            <w:r w:rsidRPr="00790072">
              <w:rPr>
                <w:rFonts w:ascii="Times New Roman" w:hAnsi="Times New Roman"/>
                <w:sz w:val="20"/>
                <w:lang w:val="pl-PL"/>
              </w:rPr>
              <w:t>oznaczenie</w:t>
            </w:r>
            <w:r w:rsidR="00790072" w:rsidRPr="00790072">
              <w:rPr>
                <w:rFonts w:ascii="Times New Roman" w:hAnsi="Times New Roman"/>
                <w:sz w:val="20"/>
                <w:lang w:val="pl-PL"/>
              </w:rPr>
              <w:t xml:space="preserve"> </w:t>
            </w:r>
            <w:r w:rsidRPr="00790072">
              <w:rPr>
                <w:rFonts w:ascii="Times New Roman" w:hAnsi="Times New Roman"/>
                <w:sz w:val="20"/>
                <w:lang w:val="pl-PL"/>
              </w:rPr>
              <w:t>aktywności</w:t>
            </w:r>
            <w:r w:rsidR="00790072" w:rsidRPr="00790072">
              <w:rPr>
                <w:rFonts w:ascii="Times New Roman" w:hAnsi="Times New Roman"/>
                <w:sz w:val="20"/>
                <w:lang w:val="pl-PL"/>
              </w:rPr>
              <w:t xml:space="preserve"> </w:t>
            </w:r>
            <w:r w:rsidRPr="00790072">
              <w:rPr>
                <w:rFonts w:ascii="Times New Roman" w:hAnsi="Times New Roman"/>
                <w:sz w:val="20"/>
                <w:lang w:val="pl-PL"/>
              </w:rPr>
              <w:t>aminotransferazy</w:t>
            </w:r>
            <w:r w:rsidR="00790072" w:rsidRPr="00790072">
              <w:rPr>
                <w:rFonts w:ascii="Times New Roman" w:hAnsi="Times New Roman"/>
                <w:sz w:val="20"/>
                <w:lang w:val="pl-PL"/>
              </w:rPr>
              <w:t xml:space="preserve"> </w:t>
            </w:r>
            <w:r w:rsidRPr="00790072">
              <w:rPr>
                <w:rFonts w:ascii="Times New Roman" w:hAnsi="Times New Roman"/>
                <w:sz w:val="20"/>
                <w:lang w:val="pl-PL"/>
              </w:rPr>
              <w:t>alaninowej;</w:t>
            </w:r>
          </w:p>
          <w:p w14:paraId="601D9070" w14:textId="74BCCF7A" w:rsidR="00ED2546" w:rsidRPr="00790072" w:rsidRDefault="00ED2546" w:rsidP="00790072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lang w:val="pl-PL"/>
              </w:rPr>
            </w:pPr>
            <w:r w:rsidRPr="00790072">
              <w:rPr>
                <w:rFonts w:ascii="Times New Roman" w:hAnsi="Times New Roman"/>
                <w:sz w:val="20"/>
                <w:lang w:val="pl-PL"/>
              </w:rPr>
              <w:t>oznaczenie</w:t>
            </w:r>
            <w:r w:rsidR="00790072" w:rsidRPr="00790072">
              <w:rPr>
                <w:rFonts w:ascii="Times New Roman" w:hAnsi="Times New Roman"/>
                <w:sz w:val="20"/>
                <w:lang w:val="pl-PL"/>
              </w:rPr>
              <w:t xml:space="preserve"> </w:t>
            </w:r>
            <w:r w:rsidRPr="00790072">
              <w:rPr>
                <w:rFonts w:ascii="Times New Roman" w:hAnsi="Times New Roman"/>
                <w:sz w:val="20"/>
                <w:lang w:val="pl-PL"/>
              </w:rPr>
              <w:t>aktywności</w:t>
            </w:r>
            <w:r w:rsidR="00790072" w:rsidRPr="00790072">
              <w:rPr>
                <w:rFonts w:ascii="Times New Roman" w:hAnsi="Times New Roman"/>
                <w:sz w:val="20"/>
                <w:lang w:val="pl-PL"/>
              </w:rPr>
              <w:t xml:space="preserve"> </w:t>
            </w:r>
            <w:r w:rsidRPr="00790072">
              <w:rPr>
                <w:rFonts w:ascii="Times New Roman" w:hAnsi="Times New Roman"/>
                <w:sz w:val="20"/>
                <w:lang w:val="pl-PL"/>
              </w:rPr>
              <w:t>aminotransferazy</w:t>
            </w:r>
            <w:r w:rsidR="00790072" w:rsidRPr="00790072">
              <w:rPr>
                <w:rFonts w:ascii="Times New Roman" w:hAnsi="Times New Roman"/>
                <w:sz w:val="20"/>
                <w:lang w:val="pl-PL"/>
              </w:rPr>
              <w:t xml:space="preserve"> </w:t>
            </w:r>
            <w:r w:rsidRPr="00790072">
              <w:rPr>
                <w:rFonts w:ascii="Times New Roman" w:hAnsi="Times New Roman"/>
                <w:sz w:val="20"/>
                <w:lang w:val="pl-PL"/>
              </w:rPr>
              <w:t>asparaginianowej;</w:t>
            </w:r>
          </w:p>
          <w:p w14:paraId="693B0375" w14:textId="2FA70453" w:rsidR="00ED2546" w:rsidRPr="00790072" w:rsidRDefault="002A222E" w:rsidP="00790072">
            <w:pPr>
              <w:pStyle w:val="Akapitzlist"/>
              <w:widowControl w:val="0"/>
              <w:numPr>
                <w:ilvl w:val="3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/>
                <w:sz w:val="20"/>
                <w:lang w:val="pl-PL" w:eastAsia="zh-CN"/>
              </w:rPr>
            </w:pPr>
            <w:r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inne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badania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w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zależności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od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wskazań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klinicznych</w:t>
            </w:r>
            <w:r w:rsidR="008725F5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.</w:t>
            </w:r>
          </w:p>
          <w:p w14:paraId="6A0D1F28" w14:textId="40D163FA" w:rsidR="002A222E" w:rsidRPr="00790072" w:rsidRDefault="002A222E" w:rsidP="00790072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sz w:val="20"/>
                <w:lang w:val="pl-PL" w:eastAsia="zh-CN"/>
              </w:rPr>
            </w:pPr>
            <w:r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Badania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wykonuje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się:</w:t>
            </w:r>
          </w:p>
          <w:p w14:paraId="14713E11" w14:textId="1B0597B3" w:rsidR="002A222E" w:rsidRPr="00790072" w:rsidRDefault="002A222E" w:rsidP="00790072">
            <w:pPr>
              <w:pStyle w:val="Akapitzlist"/>
              <w:widowControl w:val="0"/>
              <w:numPr>
                <w:ilvl w:val="3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/>
                <w:sz w:val="20"/>
                <w:lang w:val="pl-PL" w:eastAsia="zh-CN"/>
              </w:rPr>
            </w:pPr>
            <w:r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co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2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tygodnie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w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przypadku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morfologii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krwi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z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rozmazem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 xml:space="preserve"> (po </w:t>
            </w:r>
            <w:r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okresie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3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 xml:space="preserve"> miesięcy </w:t>
            </w:r>
            <w:r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leczenia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co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8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tygodni);</w:t>
            </w:r>
          </w:p>
          <w:p w14:paraId="5766C14E" w14:textId="51134B29" w:rsidR="006E4AF4" w:rsidRPr="00790072" w:rsidRDefault="002A222E" w:rsidP="00790072">
            <w:pPr>
              <w:pStyle w:val="Akapitzlist"/>
              <w:widowControl w:val="0"/>
              <w:numPr>
                <w:ilvl w:val="3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/>
                <w:sz w:val="20"/>
                <w:lang w:val="pl-PL" w:eastAsia="zh-CN"/>
              </w:rPr>
            </w:pPr>
            <w:r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co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8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tygodni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w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przypadku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pozostałych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badań</w:t>
            </w:r>
            <w:r w:rsidR="008725F5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.</w:t>
            </w:r>
          </w:p>
          <w:p w14:paraId="17FE6C0A" w14:textId="77777777" w:rsidR="00287AA4" w:rsidRPr="00790072" w:rsidRDefault="00287AA4" w:rsidP="00790072">
            <w:pPr>
              <w:widowControl w:val="0"/>
              <w:autoSpaceDE w:val="0"/>
              <w:autoSpaceDN w:val="0"/>
              <w:adjustRightInd w:val="0"/>
              <w:spacing w:after="60" w:line="276" w:lineRule="auto"/>
              <w:ind w:left="227"/>
              <w:jc w:val="both"/>
              <w:rPr>
                <w:rFonts w:ascii="Times New Roman" w:eastAsia="SimSun" w:hAnsi="Times New Roman"/>
                <w:b/>
                <w:sz w:val="20"/>
                <w:lang w:val="pl-PL" w:eastAsia="zh-CN"/>
              </w:rPr>
            </w:pPr>
          </w:p>
          <w:p w14:paraId="16837C99" w14:textId="5A04390B" w:rsidR="00287AA4" w:rsidRPr="00790072" w:rsidRDefault="00287AA4" w:rsidP="00790072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b/>
                <w:sz w:val="20"/>
                <w:lang w:val="pl-PL" w:eastAsia="zh-CN"/>
              </w:rPr>
            </w:pPr>
            <w:bookmarkStart w:id="0" w:name="_Hlk116560226"/>
            <w:r w:rsidRPr="00790072">
              <w:rPr>
                <w:rFonts w:ascii="Times New Roman" w:eastAsia="SimSun" w:hAnsi="Times New Roman"/>
                <w:b/>
                <w:sz w:val="20"/>
                <w:lang w:val="pl-PL" w:eastAsia="zh-CN"/>
              </w:rPr>
              <w:t>Monitorowanie</w:t>
            </w:r>
            <w:r w:rsidR="00790072" w:rsidRPr="00790072">
              <w:rPr>
                <w:rFonts w:ascii="Times New Roman" w:eastAsia="SimSun" w:hAnsi="Times New Roman"/>
                <w:b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b/>
                <w:sz w:val="20"/>
                <w:lang w:val="pl-PL" w:eastAsia="zh-CN"/>
              </w:rPr>
              <w:t>skuteczności</w:t>
            </w:r>
            <w:r w:rsidR="00790072" w:rsidRPr="00790072">
              <w:rPr>
                <w:rFonts w:ascii="Times New Roman" w:eastAsia="SimSun" w:hAnsi="Times New Roman"/>
                <w:b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b/>
                <w:sz w:val="20"/>
                <w:lang w:val="pl-PL" w:eastAsia="zh-CN"/>
              </w:rPr>
              <w:t>leczenia</w:t>
            </w:r>
          </w:p>
          <w:bookmarkEnd w:id="0"/>
          <w:p w14:paraId="4D4FBF91" w14:textId="29D876FE" w:rsidR="005D2609" w:rsidRPr="00790072" w:rsidRDefault="005D2609" w:rsidP="00790072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lang w:val="pl-PL" w:eastAsia="en-US"/>
              </w:rPr>
            </w:pPr>
            <w:r w:rsidRPr="00790072">
              <w:rPr>
                <w:rFonts w:ascii="Times New Roman" w:hAnsi="Times New Roman"/>
                <w:sz w:val="20"/>
                <w:lang w:val="pl-PL"/>
              </w:rPr>
              <w:t>TK</w:t>
            </w:r>
            <w:r w:rsidR="00790072" w:rsidRPr="00790072">
              <w:rPr>
                <w:rFonts w:ascii="Times New Roman" w:hAnsi="Times New Roman"/>
                <w:sz w:val="20"/>
                <w:lang w:val="pl-PL"/>
              </w:rPr>
              <w:t xml:space="preserve"> </w:t>
            </w:r>
            <w:r w:rsidRPr="00790072">
              <w:rPr>
                <w:rFonts w:ascii="Times New Roman" w:hAnsi="Times New Roman"/>
                <w:sz w:val="20"/>
                <w:lang w:val="pl-PL"/>
              </w:rPr>
              <w:t>lub</w:t>
            </w:r>
            <w:r w:rsidR="00790072" w:rsidRPr="00790072">
              <w:rPr>
                <w:rFonts w:ascii="Times New Roman" w:hAnsi="Times New Roman"/>
                <w:sz w:val="20"/>
                <w:lang w:val="pl-PL"/>
              </w:rPr>
              <w:t xml:space="preserve"> </w:t>
            </w:r>
            <w:r w:rsidRPr="00790072">
              <w:rPr>
                <w:rFonts w:ascii="Times New Roman" w:hAnsi="Times New Roman"/>
                <w:sz w:val="20"/>
                <w:lang w:val="pl-PL"/>
              </w:rPr>
              <w:t>MR</w:t>
            </w:r>
            <w:r w:rsidR="00790072" w:rsidRPr="00790072">
              <w:rPr>
                <w:rFonts w:ascii="Times New Roman" w:hAnsi="Times New Roman"/>
                <w:sz w:val="20"/>
                <w:lang w:val="pl-PL"/>
              </w:rPr>
              <w:t xml:space="preserve"> </w:t>
            </w:r>
            <w:r w:rsidRPr="00790072">
              <w:rPr>
                <w:rFonts w:ascii="Times New Roman" w:hAnsi="Times New Roman"/>
                <w:sz w:val="20"/>
                <w:lang w:val="pl-PL"/>
              </w:rPr>
              <w:t>odpowiedniego</w:t>
            </w:r>
            <w:r w:rsidR="00790072" w:rsidRPr="00790072">
              <w:rPr>
                <w:rFonts w:ascii="Times New Roman" w:hAnsi="Times New Roman"/>
                <w:sz w:val="20"/>
                <w:lang w:val="pl-PL"/>
              </w:rPr>
              <w:t xml:space="preserve"> </w:t>
            </w:r>
            <w:r w:rsidRPr="00790072">
              <w:rPr>
                <w:rFonts w:ascii="Times New Roman" w:hAnsi="Times New Roman"/>
                <w:sz w:val="20"/>
                <w:lang w:val="pl-PL"/>
              </w:rPr>
              <w:t>obszaru;</w:t>
            </w:r>
          </w:p>
          <w:p w14:paraId="0774EA2E" w14:textId="6EA146C4" w:rsidR="005D2609" w:rsidRPr="00790072" w:rsidRDefault="005D2609" w:rsidP="00790072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lang w:val="pl-PL"/>
              </w:rPr>
            </w:pPr>
            <w:r w:rsidRPr="00790072">
              <w:rPr>
                <w:rFonts w:ascii="Times New Roman" w:hAnsi="Times New Roman"/>
                <w:sz w:val="20"/>
                <w:lang w:val="pl-PL"/>
              </w:rPr>
              <w:t>RTG</w:t>
            </w:r>
            <w:r w:rsidR="00790072" w:rsidRPr="00790072">
              <w:rPr>
                <w:rFonts w:ascii="Times New Roman" w:hAnsi="Times New Roman"/>
                <w:sz w:val="20"/>
                <w:lang w:val="pl-PL"/>
              </w:rPr>
              <w:t xml:space="preserve"> </w:t>
            </w:r>
            <w:r w:rsidRPr="00790072">
              <w:rPr>
                <w:rFonts w:ascii="Times New Roman" w:hAnsi="Times New Roman"/>
                <w:sz w:val="20"/>
                <w:lang w:val="pl-PL"/>
              </w:rPr>
              <w:t>klatki</w:t>
            </w:r>
            <w:r w:rsidR="00790072" w:rsidRPr="00790072">
              <w:rPr>
                <w:rFonts w:ascii="Times New Roman" w:hAnsi="Times New Roman"/>
                <w:sz w:val="20"/>
                <w:lang w:val="pl-PL"/>
              </w:rPr>
              <w:t xml:space="preserve"> </w:t>
            </w:r>
            <w:r w:rsidRPr="00790072">
              <w:rPr>
                <w:rFonts w:ascii="Times New Roman" w:hAnsi="Times New Roman"/>
                <w:sz w:val="20"/>
                <w:lang w:val="pl-PL"/>
              </w:rPr>
              <w:t>piersiowej</w:t>
            </w:r>
            <w:r w:rsidR="00790072" w:rsidRPr="00790072">
              <w:rPr>
                <w:rFonts w:ascii="Times New Roman" w:hAnsi="Times New Roman"/>
                <w:sz w:val="20"/>
                <w:lang w:val="pl-PL"/>
              </w:rPr>
              <w:t xml:space="preserve"> </w:t>
            </w:r>
            <w:r w:rsidRPr="00790072">
              <w:rPr>
                <w:rFonts w:ascii="Times New Roman" w:hAnsi="Times New Roman"/>
                <w:sz w:val="20"/>
                <w:lang w:val="pl-PL"/>
              </w:rPr>
              <w:t>-</w:t>
            </w:r>
            <w:r w:rsidR="00790072" w:rsidRPr="00790072">
              <w:rPr>
                <w:rFonts w:ascii="Times New Roman" w:hAnsi="Times New Roman"/>
                <w:sz w:val="20"/>
                <w:lang w:val="pl-PL"/>
              </w:rPr>
              <w:t xml:space="preserve"> </w:t>
            </w:r>
            <w:r w:rsidRPr="00790072">
              <w:rPr>
                <w:rFonts w:ascii="Times New Roman" w:hAnsi="Times New Roman"/>
                <w:sz w:val="20"/>
                <w:lang w:val="pl-PL"/>
              </w:rPr>
              <w:t>jeżeli</w:t>
            </w:r>
            <w:r w:rsidR="00790072" w:rsidRPr="00790072">
              <w:rPr>
                <w:rFonts w:ascii="Times New Roman" w:hAnsi="Times New Roman"/>
                <w:sz w:val="20"/>
                <w:lang w:val="pl-PL"/>
              </w:rPr>
              <w:t xml:space="preserve"> </w:t>
            </w:r>
            <w:r w:rsidRPr="00790072">
              <w:rPr>
                <w:rFonts w:ascii="Times New Roman" w:hAnsi="Times New Roman"/>
                <w:sz w:val="20"/>
                <w:lang w:val="pl-PL"/>
              </w:rPr>
              <w:t>nie</w:t>
            </w:r>
            <w:r w:rsidR="00790072" w:rsidRPr="00790072">
              <w:rPr>
                <w:rFonts w:ascii="Times New Roman" w:hAnsi="Times New Roman"/>
                <w:sz w:val="20"/>
                <w:lang w:val="pl-PL"/>
              </w:rPr>
              <w:t xml:space="preserve"> </w:t>
            </w:r>
            <w:r w:rsidRPr="00790072">
              <w:rPr>
                <w:rFonts w:ascii="Times New Roman" w:hAnsi="Times New Roman"/>
                <w:sz w:val="20"/>
                <w:lang w:val="pl-PL"/>
              </w:rPr>
              <w:t>jest</w:t>
            </w:r>
            <w:r w:rsidR="00790072" w:rsidRPr="00790072">
              <w:rPr>
                <w:rFonts w:ascii="Times New Roman" w:hAnsi="Times New Roman"/>
                <w:sz w:val="20"/>
                <w:lang w:val="pl-PL"/>
              </w:rPr>
              <w:t xml:space="preserve"> </w:t>
            </w:r>
            <w:r w:rsidRPr="00790072">
              <w:rPr>
                <w:rFonts w:ascii="Times New Roman" w:hAnsi="Times New Roman"/>
                <w:sz w:val="20"/>
                <w:lang w:val="pl-PL"/>
              </w:rPr>
              <w:t>wykonywane</w:t>
            </w:r>
            <w:r w:rsidR="00790072" w:rsidRPr="00790072">
              <w:rPr>
                <w:rFonts w:ascii="Times New Roman" w:hAnsi="Times New Roman"/>
                <w:sz w:val="20"/>
                <w:lang w:val="pl-PL"/>
              </w:rPr>
              <w:t xml:space="preserve"> </w:t>
            </w:r>
            <w:r w:rsidRPr="00790072">
              <w:rPr>
                <w:rFonts w:ascii="Times New Roman" w:hAnsi="Times New Roman"/>
                <w:sz w:val="20"/>
                <w:lang w:val="pl-PL"/>
              </w:rPr>
              <w:t>badanie</w:t>
            </w:r>
            <w:r w:rsidR="00790072" w:rsidRPr="00790072">
              <w:rPr>
                <w:rFonts w:ascii="Times New Roman" w:hAnsi="Times New Roman"/>
                <w:sz w:val="20"/>
                <w:lang w:val="pl-PL"/>
              </w:rPr>
              <w:t xml:space="preserve"> </w:t>
            </w:r>
            <w:r w:rsidRPr="00790072">
              <w:rPr>
                <w:rFonts w:ascii="Times New Roman" w:hAnsi="Times New Roman"/>
                <w:sz w:val="20"/>
                <w:lang w:val="pl-PL"/>
              </w:rPr>
              <w:t>TK;</w:t>
            </w:r>
          </w:p>
          <w:p w14:paraId="2B48ABA6" w14:textId="163C6760" w:rsidR="005D2609" w:rsidRPr="00790072" w:rsidRDefault="005D2609" w:rsidP="00790072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lang w:val="pl-PL"/>
              </w:rPr>
            </w:pPr>
            <w:r w:rsidRPr="00790072">
              <w:rPr>
                <w:rFonts w:ascii="Times New Roman" w:hAnsi="Times New Roman"/>
                <w:sz w:val="20"/>
                <w:lang w:val="pl-PL"/>
              </w:rPr>
              <w:t>inne</w:t>
            </w:r>
            <w:r w:rsidR="00790072" w:rsidRPr="00790072">
              <w:rPr>
                <w:rFonts w:ascii="Times New Roman" w:hAnsi="Times New Roman"/>
                <w:sz w:val="20"/>
                <w:lang w:val="pl-PL"/>
              </w:rPr>
              <w:t xml:space="preserve"> </w:t>
            </w:r>
            <w:r w:rsidRPr="00790072">
              <w:rPr>
                <w:rFonts w:ascii="Times New Roman" w:hAnsi="Times New Roman"/>
                <w:sz w:val="20"/>
                <w:lang w:val="pl-PL"/>
              </w:rPr>
              <w:t>badania</w:t>
            </w:r>
            <w:r w:rsidR="00790072" w:rsidRPr="00790072">
              <w:rPr>
                <w:rFonts w:ascii="Times New Roman" w:hAnsi="Times New Roman"/>
                <w:sz w:val="20"/>
                <w:lang w:val="pl-PL"/>
              </w:rPr>
              <w:t xml:space="preserve"> </w:t>
            </w:r>
            <w:r w:rsidRPr="00790072">
              <w:rPr>
                <w:rFonts w:ascii="Times New Roman" w:hAnsi="Times New Roman"/>
                <w:sz w:val="20"/>
                <w:lang w:val="pl-PL"/>
              </w:rPr>
              <w:t>obrazowe</w:t>
            </w:r>
            <w:r w:rsidR="00790072" w:rsidRPr="00790072">
              <w:rPr>
                <w:rFonts w:ascii="Times New Roman" w:hAnsi="Times New Roman"/>
                <w:sz w:val="20"/>
                <w:lang w:val="pl-PL"/>
              </w:rPr>
              <w:t xml:space="preserve"> </w:t>
            </w:r>
            <w:r w:rsidRPr="00790072">
              <w:rPr>
                <w:rFonts w:ascii="Times New Roman" w:hAnsi="Times New Roman"/>
                <w:sz w:val="20"/>
                <w:lang w:val="pl-PL"/>
              </w:rPr>
              <w:t>w</w:t>
            </w:r>
            <w:r w:rsidR="00790072" w:rsidRPr="00790072">
              <w:rPr>
                <w:rFonts w:ascii="Times New Roman" w:hAnsi="Times New Roman"/>
                <w:sz w:val="20"/>
                <w:lang w:val="pl-PL"/>
              </w:rPr>
              <w:t xml:space="preserve"> </w:t>
            </w:r>
            <w:r w:rsidRPr="00790072">
              <w:rPr>
                <w:rFonts w:ascii="Times New Roman" w:hAnsi="Times New Roman"/>
                <w:sz w:val="20"/>
                <w:lang w:val="pl-PL"/>
              </w:rPr>
              <w:t>razie</w:t>
            </w:r>
            <w:r w:rsidR="00790072" w:rsidRPr="00790072">
              <w:rPr>
                <w:rFonts w:ascii="Times New Roman" w:hAnsi="Times New Roman"/>
                <w:sz w:val="20"/>
                <w:lang w:val="pl-PL"/>
              </w:rPr>
              <w:t xml:space="preserve"> </w:t>
            </w:r>
            <w:r w:rsidRPr="00790072">
              <w:rPr>
                <w:rFonts w:ascii="Times New Roman" w:hAnsi="Times New Roman"/>
                <w:sz w:val="20"/>
                <w:lang w:val="pl-PL"/>
              </w:rPr>
              <w:t>wskazań</w:t>
            </w:r>
            <w:r w:rsidR="00790072" w:rsidRPr="00790072">
              <w:rPr>
                <w:rFonts w:ascii="Times New Roman" w:hAnsi="Times New Roman"/>
                <w:sz w:val="20"/>
                <w:lang w:val="pl-PL"/>
              </w:rPr>
              <w:t xml:space="preserve"> </w:t>
            </w:r>
            <w:r w:rsidRPr="00790072">
              <w:rPr>
                <w:rFonts w:ascii="Times New Roman" w:hAnsi="Times New Roman"/>
                <w:sz w:val="20"/>
                <w:lang w:val="pl-PL"/>
              </w:rPr>
              <w:t>klinicznych.</w:t>
            </w:r>
          </w:p>
          <w:p w14:paraId="1DEDB6FB" w14:textId="7815C978" w:rsidR="005D2609" w:rsidRPr="00790072" w:rsidRDefault="005D2609" w:rsidP="00790072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sz w:val="20"/>
                <w:lang w:val="pl-PL" w:eastAsia="zh-CN"/>
              </w:rPr>
            </w:pPr>
            <w:r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Badania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wykonuje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się:</w:t>
            </w:r>
          </w:p>
          <w:p w14:paraId="43916D16" w14:textId="717B8BEE" w:rsidR="005D2609" w:rsidRPr="00790072" w:rsidRDefault="005D2609" w:rsidP="00790072">
            <w:pPr>
              <w:pStyle w:val="Akapitzlist"/>
              <w:widowControl w:val="0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/>
                <w:sz w:val="20"/>
                <w:lang w:val="pl-PL" w:eastAsia="zh-CN"/>
              </w:rPr>
            </w:pPr>
            <w:r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co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12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tygodni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lub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częściej,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jeśli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wymaga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tego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stan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kliniczny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pacjenta</w:t>
            </w:r>
            <w:r w:rsidR="008725F5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;</w:t>
            </w:r>
          </w:p>
          <w:p w14:paraId="3D12BDC8" w14:textId="37373985" w:rsidR="006E4AF4" w:rsidRPr="00790072" w:rsidRDefault="005D2609" w:rsidP="00790072">
            <w:pPr>
              <w:pStyle w:val="Akapitzlist"/>
              <w:widowControl w:val="0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/>
                <w:sz w:val="20"/>
                <w:lang w:val="pl-PL" w:eastAsia="zh-CN"/>
              </w:rPr>
            </w:pPr>
            <w:r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w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chwili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wyłączenia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z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programu,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o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ile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nie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nastąpiło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z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powodu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udokumentowanej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progresji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choroby.</w:t>
            </w:r>
          </w:p>
          <w:p w14:paraId="4403FAEC" w14:textId="6E4902A2" w:rsidR="005D2609" w:rsidRPr="00790072" w:rsidRDefault="005D2609" w:rsidP="00790072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sz w:val="20"/>
                <w:lang w:val="pl-PL" w:eastAsia="zh-CN"/>
              </w:rPr>
            </w:pPr>
            <w:r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Wykonane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badania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obrazowe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muszą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umożliwić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obiektywną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ocenę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odpowiedzi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na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leczenie.</w:t>
            </w:r>
          </w:p>
          <w:p w14:paraId="67BE066D" w14:textId="403A9C3A" w:rsidR="00287AA4" w:rsidRPr="00790072" w:rsidRDefault="005D2609" w:rsidP="00790072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sz w:val="20"/>
                <w:lang w:val="pl-PL" w:eastAsia="zh-CN"/>
              </w:rPr>
            </w:pPr>
            <w:r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Ocena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odpowiedzi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na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leczenie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powinna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być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przeprowadzana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zgodnie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z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kryteriami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RECIST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1.1.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 xml:space="preserve"> </w:t>
            </w:r>
          </w:p>
          <w:p w14:paraId="3AC8FDA0" w14:textId="77777777" w:rsidR="00790072" w:rsidRPr="00790072" w:rsidRDefault="00790072" w:rsidP="00790072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sz w:val="20"/>
                <w:lang w:val="pl-PL" w:eastAsia="zh-CN"/>
              </w:rPr>
            </w:pPr>
          </w:p>
          <w:p w14:paraId="00096383" w14:textId="3AB54592" w:rsidR="00287AA4" w:rsidRPr="00790072" w:rsidRDefault="00287AA4" w:rsidP="00790072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b/>
                <w:sz w:val="20"/>
                <w:lang w:val="pl-PL" w:eastAsia="zh-CN"/>
              </w:rPr>
            </w:pPr>
            <w:r w:rsidRPr="00790072">
              <w:rPr>
                <w:rFonts w:ascii="Times New Roman" w:eastAsia="SimSun" w:hAnsi="Times New Roman"/>
                <w:b/>
                <w:sz w:val="20"/>
                <w:lang w:val="pl-PL" w:eastAsia="zh-CN"/>
              </w:rPr>
              <w:t>Monitorowanie</w:t>
            </w:r>
            <w:r w:rsidR="00790072" w:rsidRPr="00790072">
              <w:rPr>
                <w:rFonts w:ascii="Times New Roman" w:eastAsia="SimSun" w:hAnsi="Times New Roman"/>
                <w:b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b/>
                <w:sz w:val="20"/>
                <w:lang w:val="pl-PL" w:eastAsia="zh-CN"/>
              </w:rPr>
              <w:t>programu</w:t>
            </w:r>
          </w:p>
          <w:p w14:paraId="033B38E3" w14:textId="0EDF246D" w:rsidR="00287AA4" w:rsidRPr="00790072" w:rsidRDefault="00ED2546" w:rsidP="00790072">
            <w:pPr>
              <w:widowControl w:val="0"/>
              <w:numPr>
                <w:ilvl w:val="3"/>
                <w:numId w:val="12"/>
              </w:numPr>
              <w:shd w:val="clear" w:color="auto" w:fill="FFFFFF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sz w:val="20"/>
                <w:lang w:val="pl-PL" w:eastAsia="zh-CN"/>
              </w:rPr>
            </w:pPr>
            <w:r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g</w:t>
            </w:r>
            <w:r w:rsidR="00287AA4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romadzenie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 xml:space="preserve"> </w:t>
            </w:r>
            <w:r w:rsidR="00287AA4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w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 xml:space="preserve"> </w:t>
            </w:r>
            <w:r w:rsidR="00287AA4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dokumentacji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 xml:space="preserve"> </w:t>
            </w:r>
            <w:r w:rsidR="00287AA4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medycznej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 xml:space="preserve"> </w:t>
            </w:r>
            <w:r w:rsidR="00287AA4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pacjenta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 xml:space="preserve"> </w:t>
            </w:r>
            <w:r w:rsidR="00287AA4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danych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 xml:space="preserve"> </w:t>
            </w:r>
            <w:r w:rsidR="00287AA4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dotyczących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 xml:space="preserve"> </w:t>
            </w:r>
            <w:r w:rsidR="00287AA4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monitorowania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 xml:space="preserve"> </w:t>
            </w:r>
            <w:r w:rsidR="00287AA4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leczenia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 xml:space="preserve"> </w:t>
            </w:r>
            <w:r w:rsidR="00287AA4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i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 xml:space="preserve"> </w:t>
            </w:r>
            <w:r w:rsidR="00287AA4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każdorazowe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 xml:space="preserve"> </w:t>
            </w:r>
            <w:r w:rsidR="00287AA4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ich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 xml:space="preserve"> </w:t>
            </w:r>
            <w:r w:rsidR="00287AA4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przedstawianie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 xml:space="preserve"> </w:t>
            </w:r>
            <w:r w:rsidR="00287AA4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na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 xml:space="preserve"> </w:t>
            </w:r>
            <w:r w:rsidR="00287AA4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żądanie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 xml:space="preserve"> </w:t>
            </w:r>
            <w:r w:rsidR="00287AA4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kontrolerów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 xml:space="preserve"> </w:t>
            </w:r>
            <w:r w:rsidR="00287AA4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Narodowego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 xml:space="preserve"> </w:t>
            </w:r>
            <w:r w:rsidR="00287AA4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Funduszu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 xml:space="preserve"> </w:t>
            </w:r>
            <w:r w:rsidR="00287AA4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Zdrowia;</w:t>
            </w:r>
          </w:p>
          <w:p w14:paraId="12021AF6" w14:textId="1EB5F47B" w:rsidR="00ED2546" w:rsidRPr="00790072" w:rsidRDefault="00ED2546" w:rsidP="00790072">
            <w:pPr>
              <w:widowControl w:val="0"/>
              <w:numPr>
                <w:ilvl w:val="3"/>
                <w:numId w:val="12"/>
              </w:numPr>
              <w:shd w:val="clear" w:color="auto" w:fill="FFFFFF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sz w:val="20"/>
                <w:lang w:val="pl-PL" w:eastAsia="zh-CN"/>
              </w:rPr>
            </w:pPr>
            <w:r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uzupełnianie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danych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zawartych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w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rejestrze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(SMPT)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dostępnym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za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pomocą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aplikacji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internetowej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udostępnionej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przez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OW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NFZ,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z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częstotliwością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zgodną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z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opisem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programu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oraz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na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zakończenie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leczenia;</w:t>
            </w:r>
          </w:p>
          <w:p w14:paraId="6D81AC74" w14:textId="6CA51F92" w:rsidR="00ED2546" w:rsidRPr="00790072" w:rsidRDefault="00ED2546" w:rsidP="00790072">
            <w:pPr>
              <w:widowControl w:val="0"/>
              <w:numPr>
                <w:ilvl w:val="3"/>
                <w:numId w:val="12"/>
              </w:numPr>
              <w:shd w:val="clear" w:color="auto" w:fill="FFFFFF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sz w:val="20"/>
                <w:lang w:val="pl-PL" w:eastAsia="zh-CN"/>
              </w:rPr>
            </w:pPr>
            <w:r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przekazywanie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informacji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sprawozdawczo-rozliczeniowych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do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NFZ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(informacje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przekazuje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się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do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NFZ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w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formie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papierowej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lub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w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formie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elektronicznej)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zgodnie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z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wymaganiami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opublikowanymi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przez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 xml:space="preserve"> </w:t>
            </w:r>
            <w:r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NFZ</w:t>
            </w:r>
            <w:r w:rsidR="00790072" w:rsidRPr="00790072">
              <w:rPr>
                <w:rFonts w:ascii="Times New Roman" w:eastAsia="SimSun" w:hAnsi="Times New Roman"/>
                <w:sz w:val="20"/>
                <w:lang w:val="pl-PL" w:eastAsia="zh-CN"/>
              </w:rPr>
              <w:t>.</w:t>
            </w:r>
          </w:p>
          <w:p w14:paraId="22C1C3D2" w14:textId="3DB27FD7" w:rsidR="006E4AF4" w:rsidRPr="00790072" w:rsidRDefault="006E4AF4" w:rsidP="0079007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60" w:line="276" w:lineRule="auto"/>
              <w:ind w:left="397"/>
              <w:jc w:val="both"/>
              <w:rPr>
                <w:rFonts w:ascii="Times New Roman" w:eastAsia="SimSun" w:hAnsi="Times New Roman"/>
                <w:sz w:val="20"/>
                <w:lang w:val="pl-PL" w:eastAsia="zh-CN"/>
              </w:rPr>
            </w:pPr>
          </w:p>
        </w:tc>
      </w:tr>
    </w:tbl>
    <w:p w14:paraId="3AF2D56E" w14:textId="77777777" w:rsidR="00025CCE" w:rsidRPr="00925BA4" w:rsidRDefault="00790072">
      <w:pPr>
        <w:rPr>
          <w:lang w:val="pl-PL"/>
        </w:rPr>
      </w:pPr>
    </w:p>
    <w:sectPr w:rsidR="00025CCE" w:rsidRPr="00925BA4" w:rsidSect="00925BA4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96C617" w14:textId="77777777" w:rsidR="001E5E79" w:rsidRDefault="001E5E79" w:rsidP="005A64B7">
      <w:pPr>
        <w:spacing w:line="240" w:lineRule="auto"/>
      </w:pPr>
      <w:r>
        <w:separator/>
      </w:r>
    </w:p>
  </w:endnote>
  <w:endnote w:type="continuationSeparator" w:id="0">
    <w:p w14:paraId="057DC365" w14:textId="77777777" w:rsidR="001E5E79" w:rsidRDefault="001E5E79" w:rsidP="005A64B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FFB516" w14:textId="77777777" w:rsidR="001E5E79" w:rsidRDefault="001E5E79" w:rsidP="005A64B7">
      <w:pPr>
        <w:spacing w:line="240" w:lineRule="auto"/>
      </w:pPr>
      <w:r>
        <w:separator/>
      </w:r>
    </w:p>
  </w:footnote>
  <w:footnote w:type="continuationSeparator" w:id="0">
    <w:p w14:paraId="5967B3A8" w14:textId="77777777" w:rsidR="001E5E79" w:rsidRDefault="001E5E79" w:rsidP="005A64B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42456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1004225C"/>
    <w:multiLevelType w:val="multilevel"/>
    <w:tmpl w:val="D18EB43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 w:val="0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  <w:b w:val="0"/>
        <w:bCs w:val="0"/>
        <w:sz w:val="20"/>
        <w:szCs w:val="20"/>
      </w:rPr>
    </w:lvl>
    <w:lvl w:ilvl="4">
      <w:start w:val="1"/>
      <w:numFmt w:val="bullet"/>
      <w:lvlText w:val="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907" w:hanging="227"/>
      </w:pPr>
      <w:rPr>
        <w:rFonts w:ascii="Wingdings" w:hAnsi="Wingdings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187331DE"/>
    <w:multiLevelType w:val="multilevel"/>
    <w:tmpl w:val="CE5C147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3" w15:restartNumberingAfterBreak="0">
    <w:nsid w:val="428E0E48"/>
    <w:multiLevelType w:val="hybridMultilevel"/>
    <w:tmpl w:val="C7E2A11A"/>
    <w:lvl w:ilvl="0" w:tplc="1304ED32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7678A5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4B2E7578"/>
    <w:multiLevelType w:val="multilevel"/>
    <w:tmpl w:val="8550B3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5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2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4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56" w:hanging="1440"/>
      </w:pPr>
      <w:rPr>
        <w:rFonts w:hint="default"/>
      </w:rPr>
    </w:lvl>
  </w:abstractNum>
  <w:abstractNum w:abstractNumId="6" w15:restartNumberingAfterBreak="0">
    <w:nsid w:val="4D707539"/>
    <w:multiLevelType w:val="multilevel"/>
    <w:tmpl w:val="CE5C147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7" w15:restartNumberingAfterBreak="0">
    <w:nsid w:val="533570E9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" w15:restartNumberingAfterBreak="0">
    <w:nsid w:val="53D2737A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64293218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0" w15:restartNumberingAfterBreak="0">
    <w:nsid w:val="703A304F"/>
    <w:multiLevelType w:val="multilevel"/>
    <w:tmpl w:val="A1EEA57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 w:val="0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  <w:b w:val="0"/>
        <w:bCs w:val="0"/>
        <w:sz w:val="20"/>
        <w:szCs w:val="20"/>
      </w:rPr>
    </w:lvl>
    <w:lvl w:ilvl="4">
      <w:start w:val="1"/>
      <w:numFmt w:val="bullet"/>
      <w:lvlText w:val="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907" w:hanging="227"/>
      </w:pPr>
      <w:rPr>
        <w:rFonts w:ascii="Wingdings" w:hAnsi="Wingdings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1" w15:restartNumberingAfterBreak="0">
    <w:nsid w:val="709F40F8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2" w15:restartNumberingAfterBreak="0">
    <w:nsid w:val="7344517D"/>
    <w:multiLevelType w:val="multilevel"/>
    <w:tmpl w:val="64E2C89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 w:val="0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  <w:b w:val="0"/>
        <w:bCs w:val="0"/>
        <w:sz w:val="20"/>
        <w:szCs w:val="20"/>
      </w:rPr>
    </w:lvl>
    <w:lvl w:ilvl="4">
      <w:start w:val="1"/>
      <w:numFmt w:val="bullet"/>
      <w:lvlText w:val="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907" w:hanging="227"/>
      </w:pPr>
      <w:rPr>
        <w:rFonts w:ascii="Wingdings" w:hAnsi="Wingdings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3" w15:restartNumberingAfterBreak="0">
    <w:nsid w:val="77C22455"/>
    <w:multiLevelType w:val="multilevel"/>
    <w:tmpl w:val="15EAF9A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58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17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401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628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21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442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029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3256" w:hanging="1440"/>
      </w:pPr>
      <w:rPr>
        <w:rFonts w:hint="default"/>
        <w:b w:val="0"/>
      </w:rPr>
    </w:lvl>
  </w:abstractNum>
  <w:abstractNum w:abstractNumId="14" w15:restartNumberingAfterBreak="0">
    <w:nsid w:val="790808D9"/>
    <w:multiLevelType w:val="multilevel"/>
    <w:tmpl w:val="CE5C147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num w:numId="1" w16cid:durableId="2009169040">
    <w:abstractNumId w:val="10"/>
  </w:num>
  <w:num w:numId="2" w16cid:durableId="974067306">
    <w:abstractNumId w:val="12"/>
  </w:num>
  <w:num w:numId="3" w16cid:durableId="1062675787">
    <w:abstractNumId w:val="1"/>
  </w:num>
  <w:num w:numId="4" w16cid:durableId="775177793">
    <w:abstractNumId w:val="13"/>
  </w:num>
  <w:num w:numId="5" w16cid:durableId="1321349391">
    <w:abstractNumId w:val="5"/>
  </w:num>
  <w:num w:numId="6" w16cid:durableId="808858992">
    <w:abstractNumId w:val="3"/>
  </w:num>
  <w:num w:numId="7" w16cid:durableId="149749900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7824987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0894214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4976408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93228151">
    <w:abstractNumId w:val="7"/>
  </w:num>
  <w:num w:numId="12" w16cid:durableId="2104952704">
    <w:abstractNumId w:val="9"/>
  </w:num>
  <w:num w:numId="13" w16cid:durableId="1854757387">
    <w:abstractNumId w:val="8"/>
  </w:num>
  <w:num w:numId="14" w16cid:durableId="1131169955">
    <w:abstractNumId w:val="0"/>
  </w:num>
  <w:num w:numId="15" w16cid:durableId="4477745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7AA4"/>
    <w:rsid w:val="0000362C"/>
    <w:rsid w:val="00083711"/>
    <w:rsid w:val="000A3118"/>
    <w:rsid w:val="000A74D4"/>
    <w:rsid w:val="000D08C1"/>
    <w:rsid w:val="000D532E"/>
    <w:rsid w:val="0014645D"/>
    <w:rsid w:val="001649E3"/>
    <w:rsid w:val="001E5E79"/>
    <w:rsid w:val="0023046B"/>
    <w:rsid w:val="00287AA4"/>
    <w:rsid w:val="002A222E"/>
    <w:rsid w:val="002D09F3"/>
    <w:rsid w:val="00390D06"/>
    <w:rsid w:val="003C449E"/>
    <w:rsid w:val="00426528"/>
    <w:rsid w:val="004A2FB0"/>
    <w:rsid w:val="004B7BE9"/>
    <w:rsid w:val="005A64B7"/>
    <w:rsid w:val="005D2609"/>
    <w:rsid w:val="005E5263"/>
    <w:rsid w:val="00605F36"/>
    <w:rsid w:val="00643446"/>
    <w:rsid w:val="006B1BBB"/>
    <w:rsid w:val="006E16D3"/>
    <w:rsid w:val="006E4AF4"/>
    <w:rsid w:val="00706DEA"/>
    <w:rsid w:val="00726482"/>
    <w:rsid w:val="00790072"/>
    <w:rsid w:val="007A1D6D"/>
    <w:rsid w:val="007F212B"/>
    <w:rsid w:val="008250ED"/>
    <w:rsid w:val="00860BE6"/>
    <w:rsid w:val="008725F5"/>
    <w:rsid w:val="00872A50"/>
    <w:rsid w:val="0089042B"/>
    <w:rsid w:val="00925BA4"/>
    <w:rsid w:val="00965F6E"/>
    <w:rsid w:val="00992DDB"/>
    <w:rsid w:val="00A6006A"/>
    <w:rsid w:val="00A70BAF"/>
    <w:rsid w:val="00B64A85"/>
    <w:rsid w:val="00B9500B"/>
    <w:rsid w:val="00C34D3B"/>
    <w:rsid w:val="00C6677C"/>
    <w:rsid w:val="00D0151F"/>
    <w:rsid w:val="00D47A79"/>
    <w:rsid w:val="00D90518"/>
    <w:rsid w:val="00D9342A"/>
    <w:rsid w:val="00DC5D0A"/>
    <w:rsid w:val="00E57242"/>
    <w:rsid w:val="00ED2546"/>
    <w:rsid w:val="00F018AA"/>
    <w:rsid w:val="00F559EF"/>
    <w:rsid w:val="00F571A8"/>
    <w:rsid w:val="00FE0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FAE9D5"/>
  <w15:docId w15:val="{93AEC7B5-14B6-48D7-8461-CF9B1F0F7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7AA4"/>
    <w:pPr>
      <w:spacing w:after="0" w:line="260" w:lineRule="atLeast"/>
    </w:pPr>
    <w:rPr>
      <w:rFonts w:ascii="Arial" w:eastAsia="Times New Roman" w:hAnsi="Arial" w:cs="Times New Roman"/>
      <w:szCs w:val="20"/>
      <w:lang w:val="de-DE" w:eastAsia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qFormat/>
    <w:rsid w:val="00287AA4"/>
    <w:rPr>
      <w:sz w:val="16"/>
      <w:szCs w:val="16"/>
    </w:rPr>
  </w:style>
  <w:style w:type="paragraph" w:styleId="Tekstkomentarza">
    <w:name w:val="annotation text"/>
    <w:aliases w:val="- H19"/>
    <w:basedOn w:val="Normalny"/>
    <w:link w:val="TekstkomentarzaZnak"/>
    <w:unhideWhenUsed/>
    <w:qFormat/>
    <w:rsid w:val="00287AA4"/>
    <w:pPr>
      <w:spacing w:after="200" w:line="240" w:lineRule="auto"/>
    </w:pPr>
    <w:rPr>
      <w:rFonts w:ascii="Calibri" w:eastAsiaTheme="minorEastAsia" w:hAnsi="Calibri" w:cstheme="minorBidi"/>
      <w:sz w:val="20"/>
      <w:lang w:val="en-GB" w:eastAsia="en-GB"/>
    </w:rPr>
  </w:style>
  <w:style w:type="character" w:customStyle="1" w:styleId="TekstkomentarzaZnak">
    <w:name w:val="Tekst komentarza Znak"/>
    <w:aliases w:val="- H19 Znak"/>
    <w:basedOn w:val="Domylnaczcionkaakapitu"/>
    <w:link w:val="Tekstkomentarza"/>
    <w:qFormat/>
    <w:rsid w:val="00287AA4"/>
    <w:rPr>
      <w:rFonts w:ascii="Calibri" w:eastAsiaTheme="minorEastAsia" w:hAnsi="Calibri"/>
      <w:sz w:val="20"/>
      <w:szCs w:val="20"/>
      <w:lang w:val="en-GB" w:eastAsia="en-GB"/>
    </w:rPr>
  </w:style>
  <w:style w:type="paragraph" w:styleId="Poprawka">
    <w:name w:val="Revision"/>
    <w:hidden/>
    <w:uiPriority w:val="99"/>
    <w:semiHidden/>
    <w:rsid w:val="00D90518"/>
    <w:pPr>
      <w:spacing w:after="0" w:line="240" w:lineRule="auto"/>
    </w:pPr>
    <w:rPr>
      <w:rFonts w:ascii="Arial" w:eastAsia="Times New Roman" w:hAnsi="Arial" w:cs="Times New Roman"/>
      <w:szCs w:val="20"/>
      <w:lang w:val="de-DE" w:eastAsia="de-DE"/>
    </w:rPr>
  </w:style>
  <w:style w:type="paragraph" w:styleId="Akapitzlist">
    <w:name w:val="List Paragraph"/>
    <w:basedOn w:val="Normalny"/>
    <w:uiPriority w:val="34"/>
    <w:qFormat/>
    <w:rsid w:val="00A6006A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43446"/>
    <w:pPr>
      <w:spacing w:after="0"/>
    </w:pPr>
    <w:rPr>
      <w:rFonts w:ascii="Arial" w:eastAsia="Times New Roman" w:hAnsi="Arial" w:cs="Times New Roman"/>
      <w:b/>
      <w:bCs/>
      <w:lang w:val="de-DE" w:eastAsia="de-DE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43446"/>
    <w:rPr>
      <w:rFonts w:ascii="Arial" w:eastAsia="Times New Roman" w:hAnsi="Arial" w:cs="Times New Roman"/>
      <w:b/>
      <w:bCs/>
      <w:sz w:val="20"/>
      <w:szCs w:val="20"/>
      <w:lang w:val="de-DE" w:eastAsia="de-D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7BE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7BE9"/>
    <w:rPr>
      <w:rFonts w:ascii="Tahoma" w:eastAsia="Times New Roman" w:hAnsi="Tahoma" w:cs="Tahoma"/>
      <w:sz w:val="16"/>
      <w:szCs w:val="16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41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2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1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1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0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1234</Words>
  <Characters>7407</Characters>
  <Application>Microsoft Office Word</Application>
  <DocSecurity>0</DocSecurity>
  <Lines>61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Bonek Przemysław</dc:creator>
  <cp:keywords/>
  <dc:description/>
  <cp:lastModifiedBy>Królak-Buzakowska Joanna</cp:lastModifiedBy>
  <cp:revision>3</cp:revision>
  <dcterms:created xsi:type="dcterms:W3CDTF">2022-10-13T11:23:00Z</dcterms:created>
  <dcterms:modified xsi:type="dcterms:W3CDTF">2022-10-13T11:33:00Z</dcterms:modified>
</cp:coreProperties>
</file>